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As confidentially submitted to the Securities and Exchange Commission on February 14, 2024.</w:t>
      </w:r>
    </w:p>
    <w:p>
      <w:pPr>
        <w:spacing w:after="0" w:line="22" w:lineRule="exact"/>
        <w:rPr>
          <w:sz w:val="24"/>
          <w:szCs w:val="24"/>
          <w:color w:val="auto"/>
        </w:rPr>
      </w:pPr>
    </w:p>
    <w:p>
      <w:pPr>
        <w:jc w:val="center"/>
        <w:ind w:left="340" w:right="400"/>
        <w:spacing w:after="0" w:line="255" w:lineRule="auto"/>
        <w:rPr>
          <w:sz w:val="20"/>
          <w:szCs w:val="20"/>
          <w:color w:val="auto"/>
        </w:rPr>
      </w:pPr>
      <w:r>
        <w:rPr>
          <w:rFonts w:ascii="Times New Roman" w:cs="Times New Roman" w:eastAsia="Times New Roman" w:hAnsi="Times New Roman"/>
          <w:sz w:val="16"/>
          <w:szCs w:val="16"/>
          <w:b w:val="1"/>
          <w:bCs w:val="1"/>
          <w:color w:val="auto"/>
        </w:rPr>
        <w:t>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5"/>
          <w:szCs w:val="15"/>
          <w:b w:val="1"/>
          <w:bCs w:val="1"/>
          <w:color w:val="auto"/>
        </w:rPr>
        <w:t>Registration Number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502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38100</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502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S-1</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502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0"/>
          <w:szCs w:val="20"/>
          <w:b w:val="1"/>
          <w:bCs w:val="1"/>
          <w:color w:val="auto"/>
        </w:rPr>
        <w:t>erve</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20"/>
          <w:szCs w:val="20"/>
          <w:b w:val="1"/>
          <w:bCs w:val="1"/>
          <w:color w:val="auto"/>
        </w:rPr>
        <w:t>obotics</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131445</wp:posOffset>
            </wp:positionV>
            <wp:extent cx="714502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3790</w:t>
            </w:r>
          </w:p>
        </w:tc>
        <w:tc>
          <w:tcPr>
            <w:tcW w:w="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85-3844872</w:t>
            </w:r>
          </w:p>
        </w:tc>
      </w:tr>
      <w:tr>
        <w:trPr>
          <w:trHeight w:val="176"/>
        </w:trPr>
        <w:tc>
          <w:tcPr>
            <w:tcW w:w="3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(Primary Standard Industrial</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bl>
    <w:p>
      <w:pPr>
        <w:spacing w:after="0" w:line="163" w:lineRule="exact"/>
        <w:rPr>
          <w:sz w:val="24"/>
          <w:szCs w:val="24"/>
          <w:color w:val="auto"/>
        </w:rPr>
      </w:pPr>
    </w:p>
    <w:p>
      <w:pPr>
        <w:ind w:left="5400" w:hanging="277"/>
        <w:spacing w:after="0"/>
        <w:tabs>
          <w:tab w:leader="none" w:pos="540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Broadway</w:t>
      </w:r>
    </w:p>
    <w:p>
      <w:pPr>
        <w:spacing w:after="0" w:line="33" w:lineRule="exact"/>
        <w:rPr>
          <w:rFonts w:ascii="Times New Roman" w:cs="Times New Roman" w:eastAsia="Times New Roman" w:hAnsi="Times New Roman"/>
          <w:sz w:val="16"/>
          <w:szCs w:val="16"/>
          <w:b w:val="1"/>
          <w:bCs w:val="1"/>
          <w:color w:val="auto"/>
        </w:rPr>
      </w:pPr>
    </w:p>
    <w:p>
      <w:pPr>
        <w:ind w:left="47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Redwood City, CA 94063</w:t>
      </w:r>
    </w:p>
    <w:p>
      <w:pPr>
        <w:spacing w:after="0" w:line="12" w:lineRule="exact"/>
        <w:rPr>
          <w:rFonts w:ascii="Times New Roman" w:cs="Times New Roman" w:eastAsia="Times New Roman" w:hAnsi="Times New Roman"/>
          <w:sz w:val="16"/>
          <w:szCs w:val="16"/>
          <w:b w:val="1"/>
          <w:bCs w:val="1"/>
          <w:color w:val="auto"/>
        </w:rPr>
      </w:pPr>
    </w:p>
    <w:p>
      <w:pPr>
        <w:ind w:left="51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(818) 860-1352</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14502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Ali Kashani</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2" w:lineRule="exact"/>
        <w:rPr>
          <w:sz w:val="24"/>
          <w:szCs w:val="24"/>
          <w:color w:val="auto"/>
        </w:rPr>
      </w:pPr>
    </w:p>
    <w:p>
      <w:pPr>
        <w:ind w:left="5400" w:hanging="277"/>
        <w:spacing w:after="0"/>
        <w:tabs>
          <w:tab w:leader="none" w:pos="54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Broadway</w:t>
      </w:r>
    </w:p>
    <w:p>
      <w:pPr>
        <w:spacing w:after="0" w:line="12" w:lineRule="exact"/>
        <w:rPr>
          <w:rFonts w:ascii="Times New Roman" w:cs="Times New Roman" w:eastAsia="Times New Roman" w:hAnsi="Times New Roman"/>
          <w:sz w:val="16"/>
          <w:szCs w:val="16"/>
          <w:b w:val="1"/>
          <w:bCs w:val="1"/>
          <w:color w:val="auto"/>
        </w:rPr>
      </w:pPr>
    </w:p>
    <w:p>
      <w:pPr>
        <w:ind w:left="45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Redwood City, California 94063</w:t>
      </w:r>
    </w:p>
    <w:p>
      <w:pPr>
        <w:spacing w:after="0" w:line="12" w:lineRule="exact"/>
        <w:rPr>
          <w:rFonts w:ascii="Times New Roman" w:cs="Times New Roman" w:eastAsia="Times New Roman" w:hAnsi="Times New Roman"/>
          <w:sz w:val="16"/>
          <w:szCs w:val="16"/>
          <w:b w:val="1"/>
          <w:bCs w:val="1"/>
          <w:color w:val="auto"/>
        </w:rPr>
      </w:pPr>
    </w:p>
    <w:p>
      <w:pPr>
        <w:ind w:left="51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(818) 860-1352</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14502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pacing w:after="0" w:line="364"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3120" w:type="dxa"/>
            <w:vAlign w:val="bottom"/>
          </w:tcPr>
          <w:p>
            <w:pPr>
              <w:spacing w:after="0"/>
              <w:rPr>
                <w:sz w:val="18"/>
                <w:szCs w:val="18"/>
                <w:color w:val="auto"/>
              </w:rPr>
            </w:pPr>
          </w:p>
        </w:tc>
        <w:tc>
          <w:tcPr>
            <w:tcW w:w="51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r>
              <w:rPr>
                <w:rFonts w:ascii="Times New Roman" w:cs="Times New Roman" w:eastAsia="Times New Roman" w:hAnsi="Times New Roman"/>
                <w:sz w:val="16"/>
                <w:szCs w:val="16"/>
                <w:b w:val="1"/>
                <w:bCs w:val="1"/>
                <w:color w:val="auto"/>
              </w:rPr>
              <w:t>:</w:t>
            </w:r>
          </w:p>
        </w:tc>
      </w:tr>
      <w:tr>
        <w:trPr>
          <w:trHeight w:val="359"/>
        </w:trPr>
        <w:tc>
          <w:tcPr>
            <w:tcW w:w="3120" w:type="dxa"/>
            <w:vAlign w:val="bottom"/>
          </w:tcPr>
          <w:p>
            <w:pPr>
              <w:jc w:val="center"/>
              <w:ind w:right="538"/>
              <w:spacing w:after="0"/>
              <w:rPr>
                <w:sz w:val="20"/>
                <w:szCs w:val="20"/>
                <w:color w:val="auto"/>
              </w:rPr>
            </w:pPr>
            <w:r>
              <w:rPr>
                <w:rFonts w:ascii="Times New Roman" w:cs="Times New Roman" w:eastAsia="Times New Roman" w:hAnsi="Times New Roman"/>
                <w:sz w:val="16"/>
                <w:szCs w:val="16"/>
                <w:b w:val="1"/>
                <w:bCs w:val="1"/>
                <w:color w:val="auto"/>
              </w:rPr>
              <w:t>Albert Vanderlaan, Esq.</w:t>
            </w:r>
          </w:p>
        </w:tc>
        <w:tc>
          <w:tcPr>
            <w:tcW w:w="5160" w:type="dxa"/>
            <w:vAlign w:val="bottom"/>
          </w:tcPr>
          <w:p>
            <w:pPr>
              <w:jc w:val="center"/>
              <w:ind w:left="2278"/>
              <w:spacing w:after="0"/>
              <w:rPr>
                <w:sz w:val="20"/>
                <w:szCs w:val="20"/>
                <w:color w:val="auto"/>
              </w:rPr>
            </w:pPr>
            <w:r>
              <w:rPr>
                <w:rFonts w:ascii="Times New Roman" w:cs="Times New Roman" w:eastAsia="Times New Roman" w:hAnsi="Times New Roman"/>
                <w:sz w:val="16"/>
                <w:szCs w:val="16"/>
                <w:b w:val="1"/>
                <w:bCs w:val="1"/>
                <w:color w:val="auto"/>
              </w:rPr>
              <w:t>Barrett DiPaolo, Esq.</w:t>
            </w:r>
          </w:p>
        </w:tc>
      </w:tr>
      <w:tr>
        <w:trPr>
          <w:trHeight w:val="196"/>
        </w:trPr>
        <w:tc>
          <w:tcPr>
            <w:tcW w:w="3120" w:type="dxa"/>
            <w:vAlign w:val="bottom"/>
          </w:tcPr>
          <w:p>
            <w:pPr>
              <w:jc w:val="center"/>
              <w:ind w:right="518"/>
              <w:spacing w:after="0"/>
              <w:rPr>
                <w:sz w:val="20"/>
                <w:szCs w:val="20"/>
                <w:color w:val="auto"/>
              </w:rPr>
            </w:pPr>
            <w:r>
              <w:rPr>
                <w:rFonts w:ascii="Times New Roman" w:cs="Times New Roman" w:eastAsia="Times New Roman" w:hAnsi="Times New Roman"/>
                <w:sz w:val="16"/>
                <w:szCs w:val="16"/>
                <w:b w:val="1"/>
                <w:bCs w:val="1"/>
                <w:color w:val="auto"/>
              </w:rPr>
              <w:t>Orrick, Herrington &amp; Sutcliffe LLP</w:t>
            </w:r>
          </w:p>
        </w:tc>
        <w:tc>
          <w:tcPr>
            <w:tcW w:w="5160" w:type="dxa"/>
            <w:vAlign w:val="bottom"/>
          </w:tcPr>
          <w:p>
            <w:pPr>
              <w:jc w:val="center"/>
              <w:ind w:left="2278"/>
              <w:spacing w:after="0"/>
              <w:rPr>
                <w:sz w:val="20"/>
                <w:szCs w:val="20"/>
                <w:color w:val="auto"/>
              </w:rPr>
            </w:pPr>
            <w:r>
              <w:rPr>
                <w:rFonts w:ascii="Times New Roman" w:cs="Times New Roman" w:eastAsia="Times New Roman" w:hAnsi="Times New Roman"/>
                <w:sz w:val="16"/>
                <w:szCs w:val="16"/>
                <w:b w:val="1"/>
                <w:bCs w:val="1"/>
                <w:color w:val="auto"/>
              </w:rPr>
              <w:t>Sichenzia Ross Ference Carmel LLP</w:t>
            </w:r>
          </w:p>
        </w:tc>
      </w:tr>
      <w:tr>
        <w:trPr>
          <w:trHeight w:val="196"/>
        </w:trPr>
        <w:tc>
          <w:tcPr>
            <w:tcW w:w="3120" w:type="dxa"/>
            <w:vAlign w:val="bottom"/>
          </w:tcPr>
          <w:p>
            <w:pPr>
              <w:jc w:val="center"/>
              <w:ind w:right="538"/>
              <w:spacing w:after="0"/>
              <w:rPr>
                <w:sz w:val="20"/>
                <w:szCs w:val="20"/>
                <w:color w:val="auto"/>
              </w:rPr>
            </w:pPr>
            <w:r>
              <w:rPr>
                <w:rFonts w:ascii="Times New Roman" w:cs="Times New Roman" w:eastAsia="Times New Roman" w:hAnsi="Times New Roman"/>
                <w:sz w:val="16"/>
                <w:szCs w:val="16"/>
                <w:b w:val="1"/>
                <w:bCs w:val="1"/>
                <w:color w:val="auto"/>
              </w:rPr>
              <w:t>222 Berkeley St., Suite 2000</w:t>
            </w:r>
          </w:p>
        </w:tc>
        <w:tc>
          <w:tcPr>
            <w:tcW w:w="5160" w:type="dxa"/>
            <w:vAlign w:val="bottom"/>
          </w:tcPr>
          <w:p>
            <w:pPr>
              <w:jc w:val="center"/>
              <w:ind w:left="2278"/>
              <w:spacing w:after="0"/>
              <w:rPr>
                <w:sz w:val="20"/>
                <w:szCs w:val="20"/>
                <w:color w:val="auto"/>
              </w:rPr>
            </w:pPr>
            <w:r>
              <w:rPr>
                <w:rFonts w:ascii="Times New Roman" w:cs="Times New Roman" w:eastAsia="Times New Roman" w:hAnsi="Times New Roman"/>
                <w:sz w:val="16"/>
                <w:szCs w:val="16"/>
                <w:b w:val="1"/>
                <w:bCs w:val="1"/>
                <w:color w:val="auto"/>
              </w:rPr>
              <w:t>1185 Avenue of the Americas, 31st Floor</w:t>
            </w:r>
          </w:p>
        </w:tc>
      </w:tr>
      <w:tr>
        <w:trPr>
          <w:trHeight w:val="196"/>
        </w:trPr>
        <w:tc>
          <w:tcPr>
            <w:tcW w:w="3120" w:type="dxa"/>
            <w:vAlign w:val="bottom"/>
          </w:tcPr>
          <w:p>
            <w:pPr>
              <w:jc w:val="center"/>
              <w:ind w:right="518"/>
              <w:spacing w:after="0"/>
              <w:rPr>
                <w:sz w:val="20"/>
                <w:szCs w:val="20"/>
                <w:color w:val="auto"/>
              </w:rPr>
            </w:pPr>
            <w:r>
              <w:rPr>
                <w:rFonts w:ascii="Times New Roman" w:cs="Times New Roman" w:eastAsia="Times New Roman" w:hAnsi="Times New Roman"/>
                <w:sz w:val="16"/>
                <w:szCs w:val="16"/>
                <w:b w:val="1"/>
                <w:bCs w:val="1"/>
                <w:color w:val="auto"/>
              </w:rPr>
              <w:t>Boston, MA 02116</w:t>
            </w:r>
          </w:p>
        </w:tc>
        <w:tc>
          <w:tcPr>
            <w:tcW w:w="5160" w:type="dxa"/>
            <w:vAlign w:val="bottom"/>
          </w:tcPr>
          <w:p>
            <w:pPr>
              <w:jc w:val="center"/>
              <w:ind w:left="2278"/>
              <w:spacing w:after="0"/>
              <w:rPr>
                <w:sz w:val="20"/>
                <w:szCs w:val="20"/>
                <w:color w:val="auto"/>
              </w:rPr>
            </w:pPr>
            <w:r>
              <w:rPr>
                <w:rFonts w:ascii="Times New Roman" w:cs="Times New Roman" w:eastAsia="Times New Roman" w:hAnsi="Times New Roman"/>
                <w:sz w:val="16"/>
                <w:szCs w:val="16"/>
                <w:b w:val="1"/>
                <w:bCs w:val="1"/>
                <w:color w:val="auto"/>
              </w:rPr>
              <w:t>New York, NY 10036</w:t>
            </w:r>
          </w:p>
        </w:tc>
      </w:tr>
      <w:tr>
        <w:trPr>
          <w:trHeight w:val="218"/>
        </w:trPr>
        <w:tc>
          <w:tcPr>
            <w:tcW w:w="3120" w:type="dxa"/>
            <w:vAlign w:val="bottom"/>
          </w:tcPr>
          <w:p>
            <w:pPr>
              <w:jc w:val="center"/>
              <w:ind w:right="538"/>
              <w:spacing w:after="0"/>
              <w:rPr>
                <w:sz w:val="20"/>
                <w:szCs w:val="20"/>
                <w:color w:val="auto"/>
              </w:rPr>
            </w:pPr>
            <w:r>
              <w:rPr>
                <w:rFonts w:ascii="Times New Roman" w:cs="Times New Roman" w:eastAsia="Times New Roman" w:hAnsi="Times New Roman"/>
                <w:sz w:val="16"/>
                <w:szCs w:val="16"/>
                <w:b w:val="1"/>
                <w:bCs w:val="1"/>
                <w:color w:val="auto"/>
              </w:rPr>
              <w:t>(617) 880-2219</w:t>
            </w:r>
          </w:p>
        </w:tc>
        <w:tc>
          <w:tcPr>
            <w:tcW w:w="5160" w:type="dxa"/>
            <w:vAlign w:val="bottom"/>
          </w:tcPr>
          <w:p>
            <w:pPr>
              <w:jc w:val="center"/>
              <w:ind w:left="2278"/>
              <w:spacing w:after="0"/>
              <w:rPr>
                <w:sz w:val="20"/>
                <w:szCs w:val="20"/>
                <w:color w:val="auto"/>
              </w:rPr>
            </w:pPr>
            <w:r>
              <w:rPr>
                <w:rFonts w:ascii="Times New Roman" w:cs="Times New Roman" w:eastAsia="Times New Roman" w:hAnsi="Times New Roman"/>
                <w:sz w:val="16"/>
                <w:szCs w:val="16"/>
                <w:b w:val="1"/>
                <w:bCs w:val="1"/>
                <w:color w:val="auto"/>
              </w:rPr>
              <w:t>(212) 930-9700</w:t>
            </w:r>
          </w:p>
        </w:tc>
      </w:tr>
    </w:tbl>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 of this registration statement.</w:t>
      </w:r>
    </w:p>
    <w:p>
      <w:pPr>
        <w:spacing w:after="0" w:line="200"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8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Accelerated filer</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8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4"/>
        </w:trPr>
        <w:tc>
          <w:tcPr>
            <w:tcW w:w="25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8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9"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Exchange Act. </w:t>
      </w:r>
      <w:r>
        <w:rPr>
          <w:rFonts w:ascii="MS PGothic" w:cs="MS PGothic" w:eastAsia="MS PGothic" w:hAnsi="MS PGothic"/>
          <w:sz w:val="16"/>
          <w:szCs w:val="16"/>
          <w:color w:val="auto"/>
        </w:rPr>
        <w:t>☐</w:t>
      </w:r>
    </w:p>
    <w:p>
      <w:pPr>
        <w:spacing w:after="0" w:line="139"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145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126365</wp:posOffset>
            </wp:positionV>
            <wp:extent cx="714502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406400</wp:posOffset>
            </wp:positionV>
            <wp:extent cx="714502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209" w:right="339" w:bottom="1081" w:gutter="0" w:footer="0" w:header="0"/>
        </w:sectPr>
      </w:pPr>
    </w:p>
    <w:bookmarkStart w:id="1" w:name="page2"/>
    <w:bookmarkEnd w:id="1"/>
    <w:p>
      <w:pPr>
        <w:jc w:val="both"/>
        <w:ind w:left="2"/>
        <w:spacing w:after="0" w:line="278" w:lineRule="auto"/>
        <w:rPr>
          <w:sz w:val="20"/>
          <w:szCs w:val="20"/>
          <w:color w:val="auto"/>
        </w:rPr>
      </w:pPr>
      <w:r>
        <w:rPr>
          <w:rFonts w:ascii="Times New Roman" w:cs="Times New Roman" w:eastAsia="Times New Roman" w:hAnsi="Times New Roman"/>
          <w:sz w:val="16"/>
          <w:szCs w:val="16"/>
          <w:b w:val="1"/>
          <w:bCs w:val="1"/>
          <w:color w:val="FF0000"/>
        </w:rPr>
        <w:t>The information in this preliminary prospectus is not complete and may be changed. We may not sell these securities pursuant to this prospectus until the registration statement filed with the Securities and Exchange Commission becomes effective. This preliminary prospectus is not an offer to sell these securities and is not soliciting offers to buy these securities in any jurisdiction where the offer or sale is not permitted.</w:t>
      </w:r>
    </w:p>
    <w:p>
      <w:pPr>
        <w:spacing w:after="0" w:line="14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FF0000"/>
        </w:rPr>
        <w:t>SUBJECT TO COMPLETION, DATED FEBRUARY 14, 2024</w:t>
      </w: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145415</wp:posOffset>
            </wp:positionV>
            <wp:extent cx="134810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81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022"/>
        <w:spacing w:after="0"/>
        <w:rPr>
          <w:sz w:val="20"/>
          <w:szCs w:val="20"/>
          <w:color w:val="auto"/>
        </w:rPr>
      </w:pPr>
      <w:r>
        <w:rPr>
          <w:rFonts w:ascii="Times New Roman" w:cs="Times New Roman" w:eastAsia="Times New Roman" w:hAnsi="Times New Roman"/>
          <w:sz w:val="16"/>
          <w:szCs w:val="16"/>
          <w:b w:val="1"/>
          <w:bCs w:val="1"/>
          <w:color w:val="auto"/>
        </w:rPr>
        <w:t>Shares of Common Stock</w:t>
      </w:r>
    </w:p>
    <w:p>
      <w:pPr>
        <w:sectPr>
          <w:pgSz w:w="11900" w:h="16838" w:orient="portrait"/>
          <w:cols w:equalWidth="0" w:num="1">
            <w:col w:w="11242"/>
          </w:cols>
          <w:pgMar w:left="318" w:top="831" w:right="339" w:bottom="1440" w:gutter="0" w:footer="0" w:header="0"/>
        </w:sectPr>
      </w:pP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This is the initial public offering of shares of common stock by Serve Robotics Inc. We are offering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common stock.</w:t>
      </w:r>
    </w:p>
    <w:p>
      <w:pPr>
        <w:spacing w:after="0" w:line="200" w:lineRule="exact"/>
        <w:rPr>
          <w:sz w:val="20"/>
          <w:szCs w:val="20"/>
          <w:color w:val="auto"/>
        </w:rPr>
      </w:pPr>
    </w:p>
    <w:p>
      <w:pPr>
        <w:sectPr>
          <w:pgSz w:w="11900" w:h="16838" w:orient="portrait"/>
          <w:cols w:equalWidth="0" w:num="2">
            <w:col w:w="6502" w:space="540"/>
            <w:col w:w="4200"/>
          </w:cols>
          <w:pgMar w:left="318" w:top="831" w:right="339" w:bottom="1440" w:gutter="0" w:footer="0" w:header="0"/>
          <w:type w:val="continuous"/>
        </w:sectPr>
      </w:pPr>
    </w:p>
    <w:p>
      <w:pPr>
        <w:spacing w:after="0" w:line="9" w:lineRule="exact"/>
        <w:rPr>
          <w:sz w:val="20"/>
          <w:szCs w:val="20"/>
          <w:color w:val="auto"/>
        </w:rPr>
      </w:pPr>
    </w:p>
    <w:p>
      <w:pPr>
        <w:ind w:left="2"/>
        <w:spacing w:after="0" w:line="294" w:lineRule="auto"/>
        <w:rPr>
          <w:sz w:val="20"/>
          <w:szCs w:val="20"/>
          <w:color w:val="auto"/>
        </w:rPr>
      </w:pPr>
      <w:r>
        <w:rPr>
          <w:rFonts w:ascii="Times New Roman" w:cs="Times New Roman" w:eastAsia="Times New Roman" w:hAnsi="Times New Roman"/>
          <w:sz w:val="16"/>
          <w:szCs w:val="16"/>
          <w:color w:val="auto"/>
        </w:rPr>
        <w:t>The initial public offering price is expected to be between $ and $ per share. Prior to this offering, there has been no public market for our common stock. We intend to apply to list our common stock on The Nasdaq Stock Market under the symbol “ .”</w:t>
      </w:r>
    </w:p>
    <w:p>
      <w:pPr>
        <w:sectPr>
          <w:pgSz w:w="11900" w:h="16838" w:orient="portrait"/>
          <w:cols w:equalWidth="0" w:num="1">
            <w:col w:w="11242"/>
          </w:cols>
          <w:pgMar w:left="318" w:top="831" w:right="339" w:bottom="1440" w:gutter="0" w:footer="0" w:header="0"/>
          <w:type w:val="continuous"/>
        </w:sectPr>
      </w:pPr>
    </w:p>
    <w:p>
      <w:pPr>
        <w:spacing w:after="0" w:line="134" w:lineRule="exact"/>
        <w:rPr>
          <w:sz w:val="20"/>
          <w:szCs w:val="20"/>
          <w:color w:val="auto"/>
        </w:rPr>
      </w:pPr>
    </w:p>
    <w:p>
      <w:pPr>
        <w:ind w:left="2"/>
        <w:spacing w:after="0" w:line="300" w:lineRule="auto"/>
        <w:rPr>
          <w:sz w:val="20"/>
          <w:szCs w:val="20"/>
          <w:color w:val="auto"/>
        </w:rPr>
      </w:pPr>
      <w:r>
        <w:rPr>
          <w:rFonts w:ascii="Times New Roman" w:cs="Times New Roman" w:eastAsia="Times New Roman" w:hAnsi="Times New Roman"/>
          <w:sz w:val="16"/>
          <w:szCs w:val="16"/>
          <w:b w:val="1"/>
          <w:bCs w:val="1"/>
          <w:color w:val="auto"/>
        </w:rPr>
        <w:t>We are an “emerging growth company” and a “smaller reporting company” as defined under the federal securities laws and, as such, are eligible for reduced public company reporting requirements. See “</w:t>
      </w:r>
      <w:r>
        <w:rPr>
          <w:rFonts w:ascii="Times New Roman" w:cs="Times New Roman" w:eastAsia="Times New Roman" w:hAnsi="Times New Roman"/>
          <w:sz w:val="16"/>
          <w:szCs w:val="16"/>
          <w:b w:val="1"/>
          <w:bCs w:val="1"/>
          <w:i w:val="1"/>
          <w:iCs w:val="1"/>
          <w:color w:val="auto"/>
        </w:rPr>
        <w:t>Prospectus Summary — Implications of Being an Emerging Growth Company and a Smaller Reporting Company</w:t>
      </w:r>
      <w:r>
        <w:rPr>
          <w:rFonts w:ascii="Times New Roman" w:cs="Times New Roman" w:eastAsia="Times New Roman" w:hAnsi="Times New Roman"/>
          <w:sz w:val="16"/>
          <w:szCs w:val="16"/>
          <w:b w:val="1"/>
          <w:bCs w:val="1"/>
          <w:color w:val="auto"/>
        </w:rPr>
        <w:t>.”</w:t>
      </w:r>
    </w:p>
    <w:p>
      <w:pPr>
        <w:spacing w:after="0" w:line="1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Investing in our common stock involves a high degree of risk. Before making an investment decision, please read “Risk Factors” on page 13 of this prospectus.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112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w:t>
            </w:r>
          </w:p>
        </w:tc>
        <w:tc>
          <w:tcPr>
            <w:tcW w:w="1120" w:type="dxa"/>
            <w:vAlign w:val="bottom"/>
            <w:tcBorders>
              <w:top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33"/>
        </w:trPr>
        <w:tc>
          <w:tcPr>
            <w:tcW w:w="868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7"/>
                <w:szCs w:val="27"/>
                <w:color w:val="auto"/>
                <w:vertAlign w:val="superscript"/>
              </w:rPr>
              <w:t>(1)</w:t>
            </w:r>
          </w:p>
        </w:tc>
        <w:tc>
          <w:tcPr>
            <w:tcW w:w="1120" w:type="dxa"/>
            <w:vAlign w:val="bottom"/>
          </w:tcPr>
          <w:p>
            <w:pPr>
              <w:jc w:val="right"/>
              <w:ind w:right="958"/>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Serve Robotics Inc. before expenses</w:t>
            </w:r>
          </w:p>
        </w:tc>
        <w:tc>
          <w:tcPr>
            <w:tcW w:w="112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bl>
    <w:p>
      <w:pPr>
        <w:spacing w:after="0" w:line="180" w:lineRule="exact"/>
        <w:rPr>
          <w:sz w:val="20"/>
          <w:szCs w:val="20"/>
          <w:color w:val="auto"/>
        </w:rPr>
      </w:pPr>
    </w:p>
    <w:p>
      <w:pPr>
        <w:ind w:left="302" w:hanging="302"/>
        <w:spacing w:after="0" w:line="199" w:lineRule="auto"/>
        <w:tabs>
          <w:tab w:leader="none" w:pos="302"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underwriting discount does not include a non-accountable expense allowance of 1.0% of the gross proceeds of the shares sold in the offering. See the section titled “Underwriting” for a description of the compensation payable to the underwriter.</w:t>
      </w:r>
    </w:p>
    <w:p>
      <w:pPr>
        <w:sectPr>
          <w:pgSz w:w="11900" w:h="16838" w:orient="portrait"/>
          <w:cols w:equalWidth="0" w:num="1">
            <w:col w:w="11242"/>
          </w:cols>
          <w:pgMar w:left="318" w:top="831" w:right="339" w:bottom="1440" w:gutter="0" w:footer="0" w:header="0"/>
          <w:type w:val="continuous"/>
        </w:sectPr>
      </w:pPr>
    </w:p>
    <w:p>
      <w:pPr>
        <w:spacing w:after="0" w:line="179" w:lineRule="exact"/>
        <w:rPr>
          <w:sz w:val="20"/>
          <w:szCs w:val="20"/>
          <w:color w:val="auto"/>
        </w:rPr>
      </w:pPr>
    </w:p>
    <w:p>
      <w:pPr>
        <w:ind w:left="2"/>
        <w:spacing w:after="0" w:line="294" w:lineRule="auto"/>
        <w:rPr>
          <w:sz w:val="20"/>
          <w:szCs w:val="20"/>
          <w:color w:val="auto"/>
        </w:rPr>
      </w:pPr>
      <w:r>
        <w:rPr>
          <w:rFonts w:ascii="Times New Roman" w:cs="Times New Roman" w:eastAsia="Times New Roman" w:hAnsi="Times New Roman"/>
          <w:sz w:val="16"/>
          <w:szCs w:val="16"/>
          <w:color w:val="auto"/>
        </w:rPr>
        <w:t>We have granted the underwriters an option for a period of 45 days after the closing date of the offering to purchase up to an additional the initial public offering price, less the underwriting discounts and commissions, solely to cover over-allotments, if any.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common stock at</w:t>
      </w:r>
    </w:p>
    <w:p>
      <w:pPr>
        <w:spacing w:after="0" w:line="400" w:lineRule="exact"/>
        <w:rPr>
          <w:sz w:val="20"/>
          <w:szCs w:val="20"/>
          <w:color w:val="auto"/>
        </w:rPr>
      </w:pPr>
    </w:p>
    <w:p>
      <w:pPr>
        <w:sectPr>
          <w:pgSz w:w="11900" w:h="16838" w:orient="portrait"/>
          <w:cols w:equalWidth="0" w:num="2">
            <w:col w:w="8842" w:space="400"/>
            <w:col w:w="2000"/>
          </w:cols>
          <w:pgMar w:left="318" w:top="831" w:right="339" w:bottom="1440" w:gutter="0" w:footer="0" w:header="0"/>
          <w:type w:val="continuous"/>
        </w:sectPr>
      </w:pPr>
    </w:p>
    <w:p>
      <w:pPr>
        <w:ind w:left="2"/>
        <w:spacing w:after="0" w:line="300"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The underwriters expect to deliver the shares of common stock to purchasers on or about</w:t>
            </w:r>
          </w:p>
        </w:tc>
        <w:tc>
          <w:tcPr>
            <w:tcW w:w="5180" w:type="dxa"/>
            <w:vAlign w:val="bottom"/>
          </w:tcPr>
          <w:p>
            <w:pPr>
              <w:jc w:val="right"/>
              <w:ind w:right="4398"/>
              <w:spacing w:after="0"/>
              <w:rPr>
                <w:sz w:val="20"/>
                <w:szCs w:val="20"/>
                <w:color w:val="auto"/>
              </w:rPr>
            </w:pPr>
            <w:r>
              <w:rPr>
                <w:rFonts w:ascii="Times New Roman" w:cs="Times New Roman" w:eastAsia="Times New Roman" w:hAnsi="Times New Roman"/>
                <w:sz w:val="16"/>
                <w:szCs w:val="16"/>
                <w:color w:val="auto"/>
              </w:rPr>
              <w:t>, 2024.</w:t>
            </w:r>
          </w:p>
        </w:tc>
      </w:tr>
      <w:tr>
        <w:trPr>
          <w:trHeight w:val="474"/>
        </w:trPr>
        <w:tc>
          <w:tcPr>
            <w:tcW w:w="11240" w:type="dxa"/>
            <w:vAlign w:val="bottom"/>
            <w:gridSpan w:val="2"/>
          </w:tcPr>
          <w:p>
            <w:pPr>
              <w:jc w:val="right"/>
              <w:ind w:right="4518"/>
              <w:spacing w:after="0"/>
              <w:rPr>
                <w:sz w:val="20"/>
                <w:szCs w:val="20"/>
                <w:color w:val="auto"/>
              </w:rPr>
            </w:pPr>
            <w:r>
              <w:rPr>
                <w:rFonts w:ascii="Times New Roman" w:cs="Times New Roman" w:eastAsia="Times New Roman" w:hAnsi="Times New Roman"/>
                <w:sz w:val="23"/>
                <w:szCs w:val="23"/>
                <w:b w:val="1"/>
                <w:bCs w:val="1"/>
                <w:color w:val="auto"/>
              </w:rPr>
              <w:t>Aegis Capital Corp.</w:t>
            </w:r>
          </w:p>
        </w:tc>
      </w:tr>
      <w:tr>
        <w:trPr>
          <w:trHeight w:val="385"/>
        </w:trPr>
        <w:tc>
          <w:tcPr>
            <w:tcW w:w="6060" w:type="dxa"/>
            <w:vAlign w:val="bottom"/>
          </w:tcPr>
          <w:p>
            <w:pPr>
              <w:ind w:left="4440"/>
              <w:spacing w:after="0"/>
              <w:rPr>
                <w:sz w:val="20"/>
                <w:szCs w:val="20"/>
                <w:color w:val="auto"/>
              </w:rPr>
            </w:pPr>
            <w:r>
              <w:rPr>
                <w:rFonts w:ascii="Times New Roman" w:cs="Times New Roman" w:eastAsia="Times New Roman" w:hAnsi="Times New Roman"/>
                <w:sz w:val="16"/>
                <w:szCs w:val="16"/>
                <w:b w:val="1"/>
                <w:bCs w:val="1"/>
                <w:color w:val="auto"/>
              </w:rPr>
              <w:t>Prospectus dated</w:t>
            </w:r>
          </w:p>
        </w:tc>
        <w:tc>
          <w:tcPr>
            <w:tcW w:w="5180" w:type="dxa"/>
            <w:vAlign w:val="bottom"/>
          </w:tcPr>
          <w:p>
            <w:pPr>
              <w:jc w:val="right"/>
              <w:ind w:right="4338"/>
              <w:spacing w:after="0"/>
              <w:rPr>
                <w:sz w:val="20"/>
                <w:szCs w:val="20"/>
                <w:color w:val="auto"/>
              </w:rPr>
            </w:pPr>
            <w:r>
              <w:rPr>
                <w:rFonts w:ascii="Times New Roman" w:cs="Times New Roman" w:eastAsia="Times New Roman" w:hAnsi="Times New Roman"/>
                <w:sz w:val="16"/>
                <w:szCs w:val="16"/>
                <w:b w:val="1"/>
                <w:bCs w:val="1"/>
                <w:color w:val="auto"/>
              </w:rPr>
              <w:t>, 2024.</w:t>
            </w:r>
          </w:p>
        </w:tc>
      </w:tr>
      <w:tr>
        <w:trPr>
          <w:trHeight w:val="617"/>
        </w:trPr>
        <w:tc>
          <w:tcPr>
            <w:tcW w:w="60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831"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100" w:type="dxa"/>
            <w:vAlign w:val="bottom"/>
          </w:tcPr>
          <w:p>
            <w:pPr>
              <w:spacing w:after="0"/>
              <w:rPr>
                <w:sz w:val="18"/>
                <w:szCs w:val="18"/>
                <w:color w:val="auto"/>
              </w:rPr>
            </w:pPr>
          </w:p>
        </w:tc>
      </w:tr>
      <w:tr>
        <w:trPr>
          <w:trHeight w:val="396"/>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6"/>
        </w:trPr>
        <w:tc>
          <w:tcPr>
            <w:tcW w:w="10140" w:type="dxa"/>
            <w:vAlign w:val="bottom"/>
            <w:gridSpan w:val="25"/>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ABOUT THIS PROSPECTUS</w:t>
            </w:r>
          </w:p>
        </w:tc>
        <w:tc>
          <w:tcPr>
            <w:tcW w:w="110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color w:val="auto"/>
              </w:rPr>
              <w:t>ii</w:t>
            </w:r>
          </w:p>
        </w:tc>
      </w:tr>
      <w:tr>
        <w:trPr>
          <w:trHeight w:val="168"/>
        </w:trPr>
        <w:tc>
          <w:tcPr>
            <w:tcW w:w="1900" w:type="dxa"/>
            <w:vAlign w:val="bottom"/>
            <w:tcBorders>
              <w:top w:val="single" w:sz="8" w:color="0000EE"/>
              <w:bottom w:val="single" w:sz="8" w:color="0000EE"/>
            </w:tcBorders>
            <w:gridSpan w:val="10"/>
          </w:tcPr>
          <w:p>
            <w:pPr>
              <w:spacing w:after="0" w:line="160" w:lineRule="exact"/>
              <w:rPr>
                <w:sz w:val="20"/>
                <w:szCs w:val="20"/>
                <w:color w:val="auto"/>
              </w:rPr>
            </w:pPr>
            <w:r>
              <w:rPr>
                <w:rFonts w:ascii="Times New Roman" w:cs="Times New Roman" w:eastAsia="Times New Roman" w:hAnsi="Times New Roman"/>
                <w:sz w:val="16"/>
                <w:szCs w:val="16"/>
                <w:color w:val="0000EE"/>
              </w:rPr>
              <w:t>PROSPECTUS SUMMARY</w:t>
            </w:r>
          </w:p>
        </w:tc>
        <w:tc>
          <w:tcPr>
            <w:tcW w:w="120" w:type="dxa"/>
            <w:vAlign w:val="bottom"/>
            <w:tcBorders>
              <w:top w:val="single" w:sz="8" w:color="0000EE"/>
            </w:tcBorders>
          </w:tcPr>
          <w:p>
            <w:pPr>
              <w:spacing w:after="0"/>
              <w:rPr>
                <w:sz w:val="14"/>
                <w:szCs w:val="14"/>
                <w:color w:val="auto"/>
              </w:rPr>
            </w:pPr>
          </w:p>
        </w:tc>
        <w:tc>
          <w:tcPr>
            <w:tcW w:w="8120" w:type="dxa"/>
            <w:vAlign w:val="bottom"/>
            <w:tcBorders>
              <w:top w:val="single" w:sz="8" w:color="CCEEFF"/>
            </w:tcBorders>
            <w:gridSpan w:val="14"/>
          </w:tcPr>
          <w:p>
            <w:pPr>
              <w:spacing w:after="0"/>
              <w:rPr>
                <w:sz w:val="14"/>
                <w:szCs w:val="14"/>
                <w:color w:val="auto"/>
              </w:rPr>
            </w:pPr>
          </w:p>
        </w:tc>
        <w:tc>
          <w:tcPr>
            <w:tcW w:w="11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w:t>
            </w:r>
          </w:p>
        </w:tc>
      </w:tr>
      <w:tr>
        <w:trPr>
          <w:trHeight w:val="185"/>
        </w:trPr>
        <w:tc>
          <w:tcPr>
            <w:tcW w:w="1160" w:type="dxa"/>
            <w:vAlign w:val="bottom"/>
            <w:tcBorders>
              <w:bottom w:val="single" w:sz="8" w:color="0000EE"/>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THE OFFERING</w:t>
            </w:r>
          </w:p>
        </w:tc>
        <w:tc>
          <w:tcPr>
            <w:tcW w:w="8980" w:type="dxa"/>
            <w:vAlign w:val="bottom"/>
            <w:tcBorders>
              <w:bottom w:val="single" w:sz="8" w:color="CCEEFF"/>
            </w:tcBorders>
            <w:gridSpan w:val="21"/>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9</w:t>
            </w:r>
          </w:p>
        </w:tc>
      </w:tr>
      <w:tr>
        <w:trPr>
          <w:trHeight w:val="168"/>
        </w:trPr>
        <w:tc>
          <w:tcPr>
            <w:tcW w:w="10140" w:type="dxa"/>
            <w:vAlign w:val="bottom"/>
            <w:gridSpan w:val="25"/>
          </w:tcPr>
          <w:p>
            <w:pPr>
              <w:spacing w:after="0" w:line="160" w:lineRule="exact"/>
              <w:rPr>
                <w:sz w:val="20"/>
                <w:szCs w:val="20"/>
                <w:color w:val="auto"/>
              </w:rPr>
            </w:pPr>
            <w:r>
              <w:rPr>
                <w:rFonts w:ascii="Times New Roman" w:cs="Times New Roman" w:eastAsia="Times New Roman" w:hAnsi="Times New Roman"/>
                <w:sz w:val="16"/>
                <w:szCs w:val="16"/>
                <w:color w:val="0000EE"/>
              </w:rPr>
              <w:t>SUMMARY FINANCIAL DATA</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11</w:t>
            </w:r>
          </w:p>
        </w:tc>
      </w:tr>
      <w:tr>
        <w:trPr>
          <w:trHeight w:val="185"/>
        </w:trPr>
        <w:tc>
          <w:tcPr>
            <w:tcW w:w="1140" w:type="dxa"/>
            <w:vAlign w:val="bottom"/>
            <w:tcBorders>
              <w:top w:val="single" w:sz="8" w:color="0000EE"/>
              <w:bottom w:val="single" w:sz="8" w:color="0000EE"/>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9"/>
              </w:rPr>
              <w:t>RISK FACTORS</w:t>
            </w:r>
          </w:p>
        </w:tc>
        <w:tc>
          <w:tcPr>
            <w:tcW w:w="1080" w:type="dxa"/>
            <w:vAlign w:val="bottom"/>
            <w:tcBorders>
              <w:top w:val="single" w:sz="8" w:color="0000EE"/>
              <w:bottom w:val="single" w:sz="8" w:color="CCEEFF"/>
            </w:tcBorders>
            <w:gridSpan w:val="10"/>
            <w:shd w:val="clear" w:color="auto" w:fill="CCEEFF"/>
          </w:tcPr>
          <w:p>
            <w:pPr>
              <w:spacing w:after="0"/>
              <w:rPr>
                <w:sz w:val="16"/>
                <w:szCs w:val="16"/>
                <w:color w:val="auto"/>
              </w:rPr>
            </w:pPr>
          </w:p>
        </w:tc>
        <w:tc>
          <w:tcPr>
            <w:tcW w:w="7920" w:type="dxa"/>
            <w:vAlign w:val="bottom"/>
            <w:tcBorders>
              <w:bottom w:val="single" w:sz="8" w:color="CCEEFF"/>
            </w:tcBorders>
            <w:gridSpan w:val="12"/>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13</w:t>
            </w:r>
          </w:p>
        </w:tc>
      </w:tr>
      <w:tr>
        <w:trPr>
          <w:trHeight w:val="160"/>
        </w:trPr>
        <w:tc>
          <w:tcPr>
            <w:tcW w:w="10140" w:type="dxa"/>
            <w:vAlign w:val="bottom"/>
            <w:gridSpan w:val="25"/>
          </w:tcPr>
          <w:p>
            <w:pPr>
              <w:spacing w:after="0" w:line="160" w:lineRule="exact"/>
              <w:rPr>
                <w:sz w:val="20"/>
                <w:szCs w:val="20"/>
                <w:color w:val="auto"/>
              </w:rPr>
            </w:pPr>
            <w:r>
              <w:rPr>
                <w:rFonts w:ascii="Times New Roman" w:cs="Times New Roman" w:eastAsia="Times New Roman" w:hAnsi="Times New Roman"/>
                <w:sz w:val="16"/>
                <w:szCs w:val="16"/>
                <w:color w:val="0000EE"/>
              </w:rPr>
              <w:t>SPECIAL NOTE REGARDING FORWARD-LOOKING STATEMENTS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41</w:t>
            </w:r>
          </w:p>
        </w:tc>
      </w:tr>
      <w:tr>
        <w:trPr>
          <w:trHeight w:val="28"/>
        </w:trPr>
        <w:tc>
          <w:tcPr>
            <w:tcW w:w="7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8"/>
        </w:trPr>
        <w:tc>
          <w:tcPr>
            <w:tcW w:w="1014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DESCRIPTION OF THE MERGER, THE PRIVATE PLACEMENT, AND RELATED TRANSACTIONS</w:t>
            </w: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42</w:t>
            </w:r>
          </w:p>
        </w:tc>
      </w:tr>
      <w:tr>
        <w:trPr>
          <w:trHeight w:val="37"/>
        </w:trPr>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r>
        <w:trPr>
          <w:trHeight w:val="168"/>
        </w:trPr>
        <w:tc>
          <w:tcPr>
            <w:tcW w:w="8100" w:type="dxa"/>
            <w:vAlign w:val="bottom"/>
            <w:tcBorders>
              <w:bottom w:val="single" w:sz="8" w:color="0000EE"/>
            </w:tcBorders>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2040" w:type="dxa"/>
            <w:vAlign w:val="bottom"/>
          </w:tcPr>
          <w:p>
            <w:pPr>
              <w:spacing w:after="0"/>
              <w:rPr>
                <w:sz w:val="14"/>
                <w:szCs w:val="14"/>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46</w:t>
            </w:r>
          </w:p>
        </w:tc>
      </w:tr>
      <w:tr>
        <w:trPr>
          <w:trHeight w:val="185"/>
        </w:trPr>
        <w:tc>
          <w:tcPr>
            <w:tcW w:w="780" w:type="dxa"/>
            <w:vAlign w:val="bottom"/>
            <w:tcBorders>
              <w:bottom w:val="single" w:sz="8" w:color="0000EE"/>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BUSINESS</w:t>
            </w:r>
          </w:p>
        </w:tc>
        <w:tc>
          <w:tcPr>
            <w:tcW w:w="9360" w:type="dxa"/>
            <w:vAlign w:val="bottom"/>
            <w:tcBorders>
              <w:bottom w:val="single" w:sz="8" w:color="CCEEFF"/>
            </w:tcBorders>
            <w:gridSpan w:val="23"/>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61</w:t>
            </w:r>
          </w:p>
        </w:tc>
      </w:tr>
      <w:tr>
        <w:trPr>
          <w:trHeight w:val="168"/>
        </w:trPr>
        <w:tc>
          <w:tcPr>
            <w:tcW w:w="1180" w:type="dxa"/>
            <w:vAlign w:val="bottom"/>
            <w:tcBorders>
              <w:bottom w:val="single" w:sz="8" w:color="0000EE"/>
            </w:tcBorders>
            <w:gridSpan w:val="5"/>
          </w:tcPr>
          <w:p>
            <w:pPr>
              <w:spacing w:after="0" w:line="160" w:lineRule="exact"/>
              <w:rPr>
                <w:sz w:val="20"/>
                <w:szCs w:val="20"/>
                <w:color w:val="auto"/>
              </w:rPr>
            </w:pPr>
            <w:r>
              <w:rPr>
                <w:rFonts w:ascii="Times New Roman" w:cs="Times New Roman" w:eastAsia="Times New Roman" w:hAnsi="Times New Roman"/>
                <w:sz w:val="16"/>
                <w:szCs w:val="16"/>
                <w:color w:val="0000EE"/>
              </w:rPr>
              <w:t>MANAGEMENT</w:t>
            </w:r>
          </w:p>
        </w:tc>
        <w:tc>
          <w:tcPr>
            <w:tcW w:w="8960" w:type="dxa"/>
            <w:vAlign w:val="bottom"/>
            <w:gridSpan w:val="20"/>
          </w:tcPr>
          <w:p>
            <w:pPr>
              <w:spacing w:after="0"/>
              <w:rPr>
                <w:sz w:val="14"/>
                <w:szCs w:val="14"/>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78</w:t>
            </w:r>
          </w:p>
        </w:tc>
      </w:tr>
      <w:tr>
        <w:trPr>
          <w:trHeight w:val="185"/>
        </w:trPr>
        <w:tc>
          <w:tcPr>
            <w:tcW w:w="3480" w:type="dxa"/>
            <w:vAlign w:val="bottom"/>
            <w:tcBorders>
              <w:bottom w:val="single" w:sz="8" w:color="0000EE"/>
            </w:tcBorders>
            <w:gridSpan w:val="1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EXECUTIVE AND DIRECTOR COMPENSATION</w:t>
            </w:r>
          </w:p>
        </w:tc>
        <w:tc>
          <w:tcPr>
            <w:tcW w:w="6660" w:type="dxa"/>
            <w:vAlign w:val="bottom"/>
            <w:tcBorders>
              <w:bottom w:val="single" w:sz="8" w:color="CCEEFF"/>
            </w:tcBorders>
            <w:gridSpan w:val="7"/>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83</w:t>
            </w:r>
          </w:p>
        </w:tc>
      </w:tr>
      <w:tr>
        <w:trPr>
          <w:trHeight w:val="168"/>
        </w:trPr>
        <w:tc>
          <w:tcPr>
            <w:tcW w:w="4980" w:type="dxa"/>
            <w:vAlign w:val="bottom"/>
            <w:tcBorders>
              <w:bottom w:val="single" w:sz="8" w:color="0000EE"/>
            </w:tcBorders>
            <w:gridSpan w:val="22"/>
          </w:tcPr>
          <w:p>
            <w:pPr>
              <w:spacing w:after="0" w:line="160" w:lineRule="exact"/>
              <w:rPr>
                <w:sz w:val="20"/>
                <w:szCs w:val="20"/>
                <w:color w:val="auto"/>
              </w:rPr>
            </w:pPr>
            <w:r>
              <w:rPr>
                <w:rFonts w:ascii="Times New Roman" w:cs="Times New Roman" w:eastAsia="Times New Roman" w:hAnsi="Times New Roman"/>
                <w:sz w:val="16"/>
                <w:szCs w:val="16"/>
                <w:color w:val="0000EE"/>
              </w:rPr>
              <w:t>CERTAIN RELATIONSHIPS AND RELATED PARTY TRANSACTIONS</w:t>
            </w:r>
          </w:p>
        </w:tc>
        <w:tc>
          <w:tcPr>
            <w:tcW w:w="5160" w:type="dxa"/>
            <w:vAlign w:val="bottom"/>
            <w:gridSpan w:val="3"/>
          </w:tcPr>
          <w:p>
            <w:pPr>
              <w:spacing w:after="0"/>
              <w:rPr>
                <w:sz w:val="14"/>
                <w:szCs w:val="14"/>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97</w:t>
            </w:r>
          </w:p>
        </w:tc>
      </w:tr>
      <w:tr>
        <w:trPr>
          <w:trHeight w:val="185"/>
        </w:trPr>
        <w:tc>
          <w:tcPr>
            <w:tcW w:w="1440" w:type="dxa"/>
            <w:vAlign w:val="bottom"/>
            <w:tcBorders>
              <w:bottom w:val="single" w:sz="8" w:color="0000EE"/>
            </w:tcBorders>
            <w:gridSpan w:val="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USE OF PROCEEDS</w:t>
            </w:r>
          </w:p>
        </w:tc>
        <w:tc>
          <w:tcPr>
            <w:tcW w:w="8700" w:type="dxa"/>
            <w:vAlign w:val="bottom"/>
            <w:tcBorders>
              <w:bottom w:val="single" w:sz="8" w:color="CCEEFF"/>
            </w:tcBorders>
            <w:gridSpan w:val="16"/>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102</w:t>
            </w:r>
          </w:p>
        </w:tc>
      </w:tr>
      <w:tr>
        <w:trPr>
          <w:trHeight w:val="168"/>
        </w:trPr>
        <w:tc>
          <w:tcPr>
            <w:tcW w:w="10140" w:type="dxa"/>
            <w:vAlign w:val="bottom"/>
            <w:gridSpan w:val="25"/>
          </w:tcPr>
          <w:p>
            <w:pPr>
              <w:spacing w:after="0" w:line="160" w:lineRule="exact"/>
              <w:rPr>
                <w:sz w:val="20"/>
                <w:szCs w:val="20"/>
                <w:color w:val="auto"/>
              </w:rPr>
            </w:pPr>
            <w:r>
              <w:rPr>
                <w:rFonts w:ascii="Times New Roman" w:cs="Times New Roman" w:eastAsia="Times New Roman" w:hAnsi="Times New Roman"/>
                <w:sz w:val="16"/>
                <w:szCs w:val="16"/>
                <w:color w:val="0000EE"/>
              </w:rPr>
              <w:t>DIVIDEND POLICY</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103</w:t>
            </w:r>
          </w:p>
        </w:tc>
      </w:tr>
      <w:tr>
        <w:trPr>
          <w:trHeight w:val="185"/>
        </w:trPr>
        <w:tc>
          <w:tcPr>
            <w:tcW w:w="1420" w:type="dxa"/>
            <w:vAlign w:val="bottom"/>
            <w:tcBorders>
              <w:top w:val="single" w:sz="8" w:color="0000EE"/>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CAPITALIZATION</w:t>
            </w:r>
          </w:p>
        </w:tc>
        <w:tc>
          <w:tcPr>
            <w:tcW w:w="8720" w:type="dxa"/>
            <w:vAlign w:val="bottom"/>
            <w:gridSpan w:val="17"/>
            <w:shd w:val="clear" w:color="auto" w:fill="CCEEFF"/>
          </w:tcPr>
          <w:p>
            <w:pPr>
              <w:spacing w:after="0"/>
              <w:rPr>
                <w:sz w:val="16"/>
                <w:szCs w:val="16"/>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104</w:t>
            </w:r>
          </w:p>
        </w:tc>
      </w:tr>
      <w:tr>
        <w:trPr>
          <w:trHeight w:val="168"/>
        </w:trPr>
        <w:tc>
          <w:tcPr>
            <w:tcW w:w="780" w:type="dxa"/>
            <w:vAlign w:val="bottom"/>
            <w:tcBorders>
              <w:top w:val="single" w:sz="8" w:color="0000EE"/>
              <w:bottom w:val="single" w:sz="8" w:color="0000EE"/>
            </w:tcBorders>
            <w:gridSpan w:val="2"/>
          </w:tcPr>
          <w:p>
            <w:pPr>
              <w:spacing w:after="0" w:line="160" w:lineRule="exact"/>
              <w:rPr>
                <w:sz w:val="20"/>
                <w:szCs w:val="20"/>
                <w:color w:val="auto"/>
              </w:rPr>
            </w:pPr>
            <w:r>
              <w:rPr>
                <w:rFonts w:ascii="Times New Roman" w:cs="Times New Roman" w:eastAsia="Times New Roman" w:hAnsi="Times New Roman"/>
                <w:sz w:val="16"/>
                <w:szCs w:val="16"/>
                <w:color w:val="0000EE"/>
                <w:w w:val="99"/>
              </w:rPr>
              <w:t>DILUTION</w:t>
            </w:r>
          </w:p>
        </w:tc>
        <w:tc>
          <w:tcPr>
            <w:tcW w:w="540" w:type="dxa"/>
            <w:vAlign w:val="bottom"/>
            <w:tcBorders>
              <w:top w:val="single" w:sz="8" w:color="0000EE"/>
            </w:tcBorders>
            <w:gridSpan w:val="5"/>
          </w:tcPr>
          <w:p>
            <w:pPr>
              <w:spacing w:after="0"/>
              <w:rPr>
                <w:sz w:val="14"/>
                <w:szCs w:val="14"/>
                <w:color w:val="auto"/>
              </w:rPr>
            </w:pPr>
          </w:p>
        </w:tc>
        <w:tc>
          <w:tcPr>
            <w:tcW w:w="8820" w:type="dxa"/>
            <w:vAlign w:val="bottom"/>
            <w:tcBorders>
              <w:top w:val="single" w:sz="8" w:color="CCEEFF"/>
            </w:tcBorders>
            <w:gridSpan w:val="18"/>
          </w:tcPr>
          <w:p>
            <w:pPr>
              <w:spacing w:after="0"/>
              <w:rPr>
                <w:sz w:val="14"/>
                <w:szCs w:val="14"/>
                <w:color w:val="auto"/>
              </w:rPr>
            </w:pPr>
          </w:p>
        </w:tc>
        <w:tc>
          <w:tcPr>
            <w:tcW w:w="11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rPr>
              <w:t>106</w:t>
            </w:r>
          </w:p>
        </w:tc>
      </w:tr>
      <w:tr>
        <w:trPr>
          <w:trHeight w:val="185"/>
        </w:trPr>
        <w:tc>
          <w:tcPr>
            <w:tcW w:w="3980" w:type="dxa"/>
            <w:vAlign w:val="bottom"/>
            <w:tcBorders>
              <w:bottom w:val="single" w:sz="8" w:color="0000EE"/>
            </w:tcBorders>
            <w:gridSpan w:val="1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MARKET INFORMATION FOR OUR COMMON STOCK</w:t>
            </w:r>
          </w:p>
        </w:tc>
        <w:tc>
          <w:tcPr>
            <w:tcW w:w="6160" w:type="dxa"/>
            <w:vAlign w:val="bottom"/>
            <w:tcBorders>
              <w:bottom w:val="single" w:sz="8" w:color="CCEEFF"/>
            </w:tcBorders>
            <w:gridSpan w:val="6"/>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109</w:t>
            </w:r>
          </w:p>
        </w:tc>
      </w:tr>
      <w:tr>
        <w:trPr>
          <w:trHeight w:val="168"/>
        </w:trPr>
        <w:tc>
          <w:tcPr>
            <w:tcW w:w="2160" w:type="dxa"/>
            <w:vAlign w:val="bottom"/>
            <w:tcBorders>
              <w:bottom w:val="single" w:sz="8" w:color="0000EE"/>
            </w:tcBorders>
            <w:gridSpan w:val="12"/>
          </w:tcPr>
          <w:p>
            <w:pPr>
              <w:spacing w:after="0" w:line="160" w:lineRule="exact"/>
              <w:rPr>
                <w:sz w:val="20"/>
                <w:szCs w:val="20"/>
                <w:color w:val="auto"/>
              </w:rPr>
            </w:pPr>
            <w:r>
              <w:rPr>
                <w:rFonts w:ascii="Times New Roman" w:cs="Times New Roman" w:eastAsia="Times New Roman" w:hAnsi="Times New Roman"/>
                <w:sz w:val="16"/>
                <w:szCs w:val="16"/>
                <w:color w:val="0000EE"/>
              </w:rPr>
              <w:t>PRINCIPAL STOCKHOLDERS</w:t>
            </w:r>
          </w:p>
        </w:tc>
        <w:tc>
          <w:tcPr>
            <w:tcW w:w="7980" w:type="dxa"/>
            <w:vAlign w:val="bottom"/>
            <w:gridSpan w:val="13"/>
          </w:tcPr>
          <w:p>
            <w:pPr>
              <w:spacing w:after="0"/>
              <w:rPr>
                <w:sz w:val="14"/>
                <w:szCs w:val="14"/>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110</w:t>
            </w:r>
          </w:p>
        </w:tc>
      </w:tr>
      <w:tr>
        <w:trPr>
          <w:trHeight w:val="168"/>
        </w:trPr>
        <w:tc>
          <w:tcPr>
            <w:tcW w:w="1014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DESCRIPTION OF CAPITAL STOCK</w:t>
            </w: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1"/>
              </w:rPr>
              <w:t>111</w:t>
            </w:r>
          </w:p>
        </w:tc>
      </w:tr>
      <w:tr>
        <w:trPr>
          <w:trHeight w:val="37"/>
        </w:trPr>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r>
        <w:trPr>
          <w:trHeight w:val="160"/>
        </w:trPr>
        <w:tc>
          <w:tcPr>
            <w:tcW w:w="10140" w:type="dxa"/>
            <w:vAlign w:val="bottom"/>
            <w:gridSpan w:val="25"/>
          </w:tcPr>
          <w:p>
            <w:pPr>
              <w:spacing w:after="0" w:line="160" w:lineRule="exact"/>
              <w:rPr>
                <w:sz w:val="20"/>
                <w:szCs w:val="20"/>
                <w:color w:val="auto"/>
              </w:rPr>
            </w:pPr>
            <w:r>
              <w:rPr>
                <w:rFonts w:ascii="Times New Roman" w:cs="Times New Roman" w:eastAsia="Times New Roman" w:hAnsi="Times New Roman"/>
                <w:sz w:val="16"/>
                <w:szCs w:val="16"/>
                <w:color w:val="0000EE"/>
              </w:rPr>
              <w:t>SHARES ELIGIBLE FOR FUTURE SALE</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117</w:t>
            </w:r>
          </w:p>
        </w:tc>
      </w:tr>
      <w:tr>
        <w:trPr>
          <w:trHeight w:val="28"/>
        </w:trPr>
        <w:tc>
          <w:tcPr>
            <w:tcW w:w="7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5"/>
        </w:trPr>
        <w:tc>
          <w:tcPr>
            <w:tcW w:w="1014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CERTAIN U.S. FEDERAL INCOME TAX CONSIDERATIONS</w:t>
            </w: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120</w:t>
            </w:r>
          </w:p>
        </w:tc>
      </w:tr>
      <w:tr>
        <w:trPr>
          <w:trHeight w:val="160"/>
        </w:trPr>
        <w:tc>
          <w:tcPr>
            <w:tcW w:w="4280" w:type="dxa"/>
            <w:vAlign w:val="bottom"/>
            <w:tcBorders>
              <w:top w:val="single" w:sz="8" w:color="0000EE"/>
            </w:tcBorders>
            <w:gridSpan w:val="20"/>
          </w:tcPr>
          <w:p>
            <w:pPr>
              <w:spacing w:after="0" w:line="160" w:lineRule="exact"/>
              <w:rPr>
                <w:sz w:val="20"/>
                <w:szCs w:val="20"/>
                <w:color w:val="auto"/>
              </w:rPr>
            </w:pPr>
            <w:r>
              <w:rPr>
                <w:rFonts w:ascii="Times New Roman" w:cs="Times New Roman" w:eastAsia="Times New Roman" w:hAnsi="Times New Roman"/>
                <w:sz w:val="16"/>
                <w:szCs w:val="16"/>
                <w:color w:val="0000EE"/>
              </w:rPr>
              <w:t>UNDERWRITING</w:t>
            </w:r>
          </w:p>
        </w:tc>
        <w:tc>
          <w:tcPr>
            <w:tcW w:w="5860" w:type="dxa"/>
            <w:vAlign w:val="bottom"/>
            <w:tcBorders>
              <w:top w:val="single" w:sz="8" w:color="CCEEFF"/>
            </w:tcBorders>
            <w:gridSpan w:val="5"/>
          </w:tcPr>
          <w:p>
            <w:pPr>
              <w:spacing w:after="0"/>
              <w:rPr>
                <w:sz w:val="13"/>
                <w:szCs w:val="13"/>
                <w:color w:val="auto"/>
              </w:rPr>
            </w:pPr>
          </w:p>
        </w:tc>
        <w:tc>
          <w:tcPr>
            <w:tcW w:w="11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rPr>
              <w:t>124</w:t>
            </w:r>
          </w:p>
        </w:tc>
      </w:tr>
      <w:tr>
        <w:trPr>
          <w:trHeight w:val="28"/>
        </w:trPr>
        <w:tc>
          <w:tcPr>
            <w:tcW w:w="7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5"/>
        </w:trPr>
        <w:tc>
          <w:tcPr>
            <w:tcW w:w="1320" w:type="dxa"/>
            <w:vAlign w:val="bottom"/>
            <w:tcBorders>
              <w:bottom w:val="single" w:sz="8" w:color="0000EE"/>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9"/>
              </w:rPr>
              <w:t>LEGAL MATTERS</w:t>
            </w:r>
          </w:p>
        </w:tc>
        <w:tc>
          <w:tcPr>
            <w:tcW w:w="8820" w:type="dxa"/>
            <w:vAlign w:val="bottom"/>
            <w:tcBorders>
              <w:bottom w:val="single" w:sz="8" w:color="CCEEFF"/>
            </w:tcBorders>
            <w:gridSpan w:val="18"/>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127</w:t>
            </w:r>
          </w:p>
        </w:tc>
      </w:tr>
      <w:tr>
        <w:trPr>
          <w:trHeight w:val="168"/>
        </w:trPr>
        <w:tc>
          <w:tcPr>
            <w:tcW w:w="700" w:type="dxa"/>
            <w:vAlign w:val="bottom"/>
            <w:tcBorders>
              <w:bottom w:val="single" w:sz="8" w:color="0000EE"/>
            </w:tcBorders>
          </w:tcPr>
          <w:p>
            <w:pPr>
              <w:spacing w:after="0" w:line="160" w:lineRule="exact"/>
              <w:rPr>
                <w:sz w:val="20"/>
                <w:szCs w:val="20"/>
                <w:color w:val="auto"/>
              </w:rPr>
            </w:pPr>
            <w:r>
              <w:rPr>
                <w:rFonts w:ascii="Times New Roman" w:cs="Times New Roman" w:eastAsia="Times New Roman" w:hAnsi="Times New Roman"/>
                <w:sz w:val="16"/>
                <w:szCs w:val="16"/>
                <w:color w:val="0000EE"/>
                <w:w w:val="97"/>
              </w:rPr>
              <w:t>EXPERTS</w:t>
            </w:r>
          </w:p>
        </w:tc>
        <w:tc>
          <w:tcPr>
            <w:tcW w:w="9440" w:type="dxa"/>
            <w:vAlign w:val="bottom"/>
            <w:gridSpan w:val="24"/>
          </w:tcPr>
          <w:p>
            <w:pPr>
              <w:spacing w:after="0"/>
              <w:rPr>
                <w:sz w:val="14"/>
                <w:szCs w:val="14"/>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127</w:t>
            </w:r>
          </w:p>
        </w:tc>
      </w:tr>
      <w:tr>
        <w:trPr>
          <w:trHeight w:val="185"/>
        </w:trPr>
        <w:tc>
          <w:tcPr>
            <w:tcW w:w="10140" w:type="dxa"/>
            <w:vAlign w:val="bottom"/>
            <w:gridSpan w:val="2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127</w:t>
            </w:r>
          </w:p>
        </w:tc>
      </w:tr>
      <w:tr>
        <w:trPr>
          <w:trHeight w:val="160"/>
        </w:trPr>
        <w:tc>
          <w:tcPr>
            <w:tcW w:w="2760" w:type="dxa"/>
            <w:vAlign w:val="bottom"/>
            <w:tcBorders>
              <w:top w:val="single" w:sz="8" w:color="0000EE"/>
              <w:bottom w:val="single" w:sz="8" w:color="0000EE"/>
            </w:tcBorders>
            <w:gridSpan w:val="15"/>
          </w:tcPr>
          <w:p>
            <w:pPr>
              <w:spacing w:after="0" w:line="160" w:lineRule="exact"/>
              <w:rPr>
                <w:sz w:val="20"/>
                <w:szCs w:val="20"/>
                <w:color w:val="auto"/>
              </w:rPr>
            </w:pPr>
            <w:r>
              <w:rPr>
                <w:rFonts w:ascii="Times New Roman" w:cs="Times New Roman" w:eastAsia="Times New Roman" w:hAnsi="Times New Roman"/>
                <w:sz w:val="16"/>
                <w:szCs w:val="16"/>
                <w:color w:val="0000EE"/>
              </w:rPr>
              <w:t>INDEX TO FINANCIAL STATEMENTS</w:t>
            </w:r>
          </w:p>
        </w:tc>
        <w:tc>
          <w:tcPr>
            <w:tcW w:w="700" w:type="dxa"/>
            <w:vAlign w:val="bottom"/>
            <w:tcBorders>
              <w:top w:val="single" w:sz="8" w:color="0000EE"/>
            </w:tcBorders>
            <w:gridSpan w:val="2"/>
          </w:tcPr>
          <w:p>
            <w:pPr>
              <w:spacing w:after="0"/>
              <w:rPr>
                <w:sz w:val="13"/>
                <w:szCs w:val="13"/>
                <w:color w:val="auto"/>
              </w:rPr>
            </w:pPr>
          </w:p>
        </w:tc>
        <w:tc>
          <w:tcPr>
            <w:tcW w:w="6680" w:type="dxa"/>
            <w:vAlign w:val="bottom"/>
            <w:tcBorders>
              <w:top w:val="single" w:sz="8" w:color="CCEEFF"/>
            </w:tcBorders>
            <w:gridSpan w:val="8"/>
          </w:tcPr>
          <w:p>
            <w:pPr>
              <w:spacing w:after="0"/>
              <w:rPr>
                <w:sz w:val="13"/>
                <w:szCs w:val="13"/>
                <w:color w:val="auto"/>
              </w:rPr>
            </w:pPr>
          </w:p>
        </w:tc>
        <w:tc>
          <w:tcPr>
            <w:tcW w:w="11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F-1</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450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13"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6"/>
          <w:szCs w:val="16"/>
          <w:color w:val="auto"/>
        </w:rPr>
        <w:t>Through and including</w:t>
      </w:r>
      <w:r>
        <w:rPr>
          <w:sz w:val="20"/>
          <w:szCs w:val="20"/>
          <w:color w:val="auto"/>
        </w:rPr>
        <w:tab/>
      </w:r>
      <w:r>
        <w:rPr>
          <w:rFonts w:ascii="Times New Roman" w:cs="Times New Roman" w:eastAsia="Times New Roman" w:hAnsi="Times New Roman"/>
          <w:sz w:val="16"/>
          <w:szCs w:val="16"/>
          <w:color w:val="auto"/>
        </w:rPr>
        <w:t>, 2024 (the 25th day after the date of this prospectus), all dealers effecting transactions in these securities, whether or not participating in</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offering, may be required to deliver a prospectus. This delivery requirement is in addition to a dealer’s obligation to deliver a prospectus when acting as an underwriter and with respect to an unsold allotment or subscription.</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and the underwriters have not authorized anyone to give you any information other than the information contained in this prospectus, the information incorporated by reference herein, any applicable prospectus supplement or any free writing prospectus filed with the U.S. Securities and Exchange Commission (the “SEC”). We and the underwriters take no responsibility for, and can provide no assurances as to the reliability of, any other information that others may give you. Neither we nor the underwriters have authorized anyone to provide you with additional information or information different from that contained in this prospectus filed with the SEC. This prospectus is an offer to sell only the shares offered hereby, but only under circumstances and in jurisdictions where it is lawful to do so. You should assume that the information appearing in this prospectus, the applicable prospectus supplement and any related free writing prospectus is accurate only as of the respective dates of those documents. Our business, financial condition, results of operations and prospects may have changed since those 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Non-U.S. Investors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Neither we nor the underwriters have done anything that would permit this offering or possession or distribution of this prospectus, any prospectus supplement or free writing prospectus filed with the SEC, in any jurisdiction where action for that purpose is required, other than in the United States. Persons outside the United States who come into possession of this prospectus, any prospectus supplement or free writing prospectus must inform themselves about, and observe any restrictions relating to, the offering of the shares of common stock and the distribution of this prospectus, any prospectus supplement or free writing prospectus outside the United States.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INDUSTRY AND OTHER DATA</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This prospectus contains industry, market and competitive position data from our own internal estimates and research as well as industry and general publications and research surveys and studies conducted by independent third parties. Industry publications, studies and surveys generally state that they have been obtained from sources believe to be reliable. Our internal data and estimates are based upon information obtained from trade and business organizations and other contacts in the markets in which we operate and our management’s understanding of industry conditions. Management is responsible for the accuracy of our internal company research and believes such information is reliable and the market definitions are appropriate. The industry in which we operate is subject to a high degree of uncertainty and risk due to a variety of factors, including those described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These and other factors could cause results to differ materially from these expressed in the estimates made by the independent third parties and by us.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4502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5599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845" cy="5599430"/>
                    </a:xfrm>
                    <a:prstGeom prst="rect">
                      <a:avLst/>
                    </a:prstGeom>
                    <a:noFill/>
                  </pic:spPr>
                </pic:pic>
              </a:graphicData>
            </a:graphic>
          </wp:anchor>
        </w:drawing>
        <w:t>PROSPECTUS SUMMARY</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the Company and this offering, we encourage you to read and consider carefully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prospectus includes a number of technical terms. Please see “</w:t>
      </w:r>
      <w:r>
        <w:rPr>
          <w:rFonts w:ascii="Times New Roman" w:cs="Times New Roman" w:eastAsia="Times New Roman" w:hAnsi="Times New Roman"/>
          <w:sz w:val="16"/>
          <w:szCs w:val="16"/>
          <w:i w:val="1"/>
          <w:iCs w:val="1"/>
          <w:color w:val="auto"/>
        </w:rPr>
        <w:t>Glossary of Terms and Abbreviations</w:t>
      </w:r>
      <w:r>
        <w:rPr>
          <w:rFonts w:ascii="Times New Roman" w:cs="Times New Roman" w:eastAsia="Times New Roman" w:hAnsi="Times New Roman"/>
          <w:sz w:val="16"/>
          <w:szCs w:val="16"/>
          <w:color w:val="auto"/>
        </w:rPr>
        <w:t>” beginning on page 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on a mission to deliver a sustainable future.</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Serve’s first product is an advanced, AI-powered, low-emissions sidewalk delivery robot (“delivery robots”) that serves people in public spaces, which started with last-mile food delivery in Los Angeles during the COVID-19 pandemic shutdowns. Serve’s current fleet of robots consists of over 100 robots, and we plan to expand our fleet by building and deploying hundreds of new robots in coming years after raising additional rounds of financing. We have platform-level integrations with the Uber Eats division of Uber Technologies, Inc. (“Uber”) and 7-Eleven, Inc. Our strategic investors include NVIDIA, Uber, 7-Ventures and Delivery Hero’s corporate venture units, alongside other world-class investors.</w:t>
      </w:r>
    </w:p>
    <w:p>
      <w:pPr>
        <w:spacing w:after="0" w:line="1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team comes with a depth of expertise in food delivery, with our engineering team having extensive experience in AI, automation and robotics. Our leadership team includes veterans from Uber, Postmates Inc. (“Postmates”), Waymo, Apple Inc., Blue Origin, LLC, GoPro, Inc., GoDaddy Inc., and Anki, Inc. We believe our expertise positions us to service the ever-growing on-demand delivery market, including food delivery.</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Industry</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Despite new technological innovations of the past few decades as well as growing adoption of online commerce and home delivery, last-mile delivery has remained costly and inefficient. In 2022, DoorDash, the largest food delivery platform in the United States, reported 35% revenue growth while net losses increased over 190%. Besides on-demand delivery, next-day parcel delivery has also struggled with last-mile cost. For example, in May 2023, Amazon announced a program to reduce its delivery costs by offering customers $10 to pick up items from nearby stores.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number of factors have contributed to keeping last-mile costs high: labor shortages, wage inflation, and regulatory pressures to classify gig workers as employees.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aforementioned serve as tailwinds that are expected to accelerate the adoption of automation in last-mile delivery.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502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20"/>
          </w:cols>
          <w:pgMar w:left="440" w:top="1015" w:right="439" w:bottom="1440" w:gutter="0" w:footer="0" w:header="0"/>
        </w:sectPr>
      </w:pPr>
    </w:p>
    <w:bookmarkStart w:id="5" w:name="page6"/>
    <w:bookmarkEnd w:id="5"/>
    <w:p>
      <w:pPr>
        <w:jc w:val="both"/>
        <w:ind w:left="9"/>
        <w:spacing w:after="0" w:line="26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547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845" cy="5474335"/>
                    </a:xfrm>
                    <a:prstGeom prst="rect">
                      <a:avLst/>
                    </a:prstGeom>
                    <a:noFill/>
                  </pic:spPr>
                </pic:pic>
              </a:graphicData>
            </a:graphic>
          </wp:anchor>
        </w:drawing>
        <w:t>Deliveries vary by distance, cargo size, cargo sensitivity and timing requirements, among other factors. Today, most next-day parcels are delivered using trucks, while on-demand food delivery largely takes place in personal vehicles. Overall, a small percentage of short-distance deliveries are performed on bicycles. As automation is introduced, different automated technologies will be best suited for different deliveries. Autonomous vehicles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rapidly over the coming years.</w:t>
      </w:r>
    </w:p>
    <w:p>
      <w:pPr>
        <w:spacing w:after="0" w:line="162" w:lineRule="exact"/>
        <w:rPr>
          <w:sz w:val="20"/>
          <w:szCs w:val="20"/>
          <w:color w:val="auto"/>
        </w:rPr>
      </w:pPr>
    </w:p>
    <w:p>
      <w:pPr>
        <w:jc w:val="both"/>
        <w:ind w:left="9"/>
        <w:spacing w:after="0" w:line="275" w:lineRule="auto"/>
        <w:rPr>
          <w:sz w:val="20"/>
          <w:szCs w:val="20"/>
          <w:color w:val="auto"/>
        </w:rPr>
      </w:pPr>
      <w:r>
        <w:rPr>
          <w:rFonts w:ascii="Times New Roman" w:cs="Times New Roman" w:eastAsia="Times New Roman" w:hAnsi="Times New Roman"/>
          <w:sz w:val="16"/>
          <w:szCs w:val="16"/>
          <w:color w:val="auto"/>
        </w:rPr>
        <w:t>Sidewalk robots are best suited for short-distance deliveries in populated environments. The applications of robotics in delivery are wide-ranging, from on-demand food and grocery to convenience goods, alcohol, pharmaceuticals, parcels, and more. According to Business Insider, the market for delivery robots is predicted to grow to $1 trillion by 2030.</w:t>
      </w:r>
    </w:p>
    <w:p>
      <w:pPr>
        <w:spacing w:after="0" w:line="153" w:lineRule="exact"/>
        <w:rPr>
          <w:sz w:val="20"/>
          <w:szCs w:val="20"/>
          <w:color w:val="auto"/>
        </w:rPr>
      </w:pPr>
    </w:p>
    <w:p>
      <w:pPr>
        <w:jc w:val="both"/>
        <w:ind w:left="9" w:right="20"/>
        <w:spacing w:after="0" w:line="294" w:lineRule="auto"/>
        <w:rPr>
          <w:sz w:val="20"/>
          <w:szCs w:val="20"/>
          <w:color w:val="auto"/>
        </w:rPr>
      </w:pPr>
      <w:r>
        <w:rPr>
          <w:rFonts w:ascii="Times New Roman" w:cs="Times New Roman" w:eastAsia="Times New Roman" w:hAnsi="Times New Roman"/>
          <w:sz w:val="16"/>
          <w:szCs w:val="16"/>
          <w:color w:val="auto"/>
        </w:rPr>
        <w:t>As automation increases the efficiency of last-mile delivery, we anticipate significant opportunities for impact by lowering delivery costs, increasing on-demand adoption, making reverse logistics easier, and increasing local commerce activity, in addition to providing an environmentally-friendly alternative.</w:t>
      </w:r>
    </w:p>
    <w:p>
      <w:pPr>
        <w:spacing w:after="0" w:line="138" w:lineRule="exact"/>
        <w:rPr>
          <w:sz w:val="20"/>
          <w:szCs w:val="20"/>
          <w:color w:val="auto"/>
        </w:rPr>
      </w:pPr>
    </w:p>
    <w:p>
      <w:pPr>
        <w:jc w:val="both"/>
        <w:ind w:left="9"/>
        <w:spacing w:after="0" w:line="263" w:lineRule="auto"/>
        <w:rPr>
          <w:sz w:val="20"/>
          <w:szCs w:val="20"/>
          <w:color w:val="auto"/>
        </w:rPr>
      </w:pPr>
      <w:r>
        <w:rPr>
          <w:rFonts w:ascii="Times New Roman" w:cs="Times New Roman" w:eastAsia="Times New Roman" w:hAnsi="Times New Roman"/>
          <w:sz w:val="16"/>
          <w:szCs w:val="16"/>
          <w:color w:val="auto"/>
        </w:rPr>
        <w:t>In addition, replacing car deliveries with sidewalk robotic delivery can improve road safety and make cities friendlier for pedestrians and bicyclists. Due to their lower speed and weight, sidewalk delivery robots have significantly less kinetic energy than an average automobile: an average U.S. passenger car weighing 4,100 lbs and traveling at 30 miles per hour carries 167 kJ of kinetic energy which upon impact with a pedestrian may result in severe injury or fatality, whereas our robot weighing 200 lbs and traveling at its maximum speed of 7 miles per hour carries 0.44 kJ, or 0.27% of the kinetic energy of the car, which is unlikely to cause severe injury or fatality. As such, to date there has been no reported case of severe injury caused by our delivery robots. We share incident and infrastructure data with jurisdictions in which we operate (currently West Hollywood and Los Angeles, California).</w:t>
      </w:r>
    </w:p>
    <w:p>
      <w:pPr>
        <w:spacing w:after="0" w:line="165" w:lineRule="exact"/>
        <w:rPr>
          <w:sz w:val="20"/>
          <w:szCs w:val="20"/>
          <w:color w:val="auto"/>
        </w:rPr>
      </w:pPr>
    </w:p>
    <w:p>
      <w:pPr>
        <w:jc w:val="both"/>
        <w:ind w:left="9"/>
        <w:spacing w:after="0" w:line="275" w:lineRule="auto"/>
        <w:rPr>
          <w:sz w:val="20"/>
          <w:szCs w:val="20"/>
          <w:color w:val="auto"/>
        </w:rPr>
      </w:pPr>
      <w:r>
        <w:rPr>
          <w:rFonts w:ascii="Times New Roman" w:cs="Times New Roman" w:eastAsia="Times New Roman" w:hAnsi="Times New Roman"/>
          <w:sz w:val="16"/>
          <w:szCs w:val="16"/>
          <w:color w:val="auto"/>
        </w:rPr>
        <w:t>Finally, according to a study published in Transportation Research Part D: Transport and Environment in 2020, greenhouse gases (“GHG”) emissions from operating sidewalk delivery robots, including emissions from charging battery and transportation to/from delivery hubs, are over 96% lower than emissions from operating internal combustion engine vehicles.</w:t>
      </w:r>
    </w:p>
    <w:p>
      <w:pPr>
        <w:spacing w:after="0" w:line="14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0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Magna Services Agreement</w:t>
      </w:r>
    </w:p>
    <w:p>
      <w:pPr>
        <w:spacing w:after="0" w:line="213" w:lineRule="exact"/>
        <w:rPr>
          <w:sz w:val="20"/>
          <w:szCs w:val="20"/>
          <w:color w:val="auto"/>
        </w:rPr>
      </w:pPr>
    </w:p>
    <w:p>
      <w:pPr>
        <w:jc w:val="both"/>
        <w:ind w:left="9"/>
        <w:spacing w:after="0" w:line="263" w:lineRule="auto"/>
        <w:rPr>
          <w:sz w:val="20"/>
          <w:szCs w:val="20"/>
          <w:color w:val="auto"/>
        </w:rPr>
      </w:pPr>
      <w:r>
        <w:rPr>
          <w:rFonts w:ascii="Times New Roman" w:cs="Times New Roman" w:eastAsia="Times New Roman" w:hAnsi="Times New Roman"/>
          <w:sz w:val="16"/>
          <w:szCs w:val="16"/>
          <w:color w:val="auto"/>
        </w:rPr>
        <w:t>On February 1, 2024, Serve entered into a Master Services Agreement (the “MSA”) with Magna New Mobility USA, Inc.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spacing w:after="0" w:line="165" w:lineRule="exact"/>
        <w:rPr>
          <w:sz w:val="20"/>
          <w:szCs w:val="20"/>
          <w:color w:val="auto"/>
        </w:rPr>
      </w:pPr>
    </w:p>
    <w:p>
      <w:pPr>
        <w:jc w:val="both"/>
        <w:ind w:left="9"/>
        <w:spacing w:after="0" w:line="294" w:lineRule="auto"/>
        <w:rPr>
          <w:sz w:val="20"/>
          <w:szCs w:val="20"/>
          <w:color w:val="auto"/>
        </w:rPr>
      </w:pPr>
      <w:r>
        <w:rPr>
          <w:rFonts w:ascii="Times New Roman" w:cs="Times New Roman" w:eastAsia="Times New Roman" w:hAnsi="Times New Roman"/>
          <w:sz w:val="16"/>
          <w:szCs w:val="16"/>
          <w:color w:val="auto"/>
        </w:rPr>
        <w:t>In connection with the strategic partnership with Magna, on February 7, 2024, we issued to Magna a warrant (the “Magna Warrant”) to purchase up to 2,145,000 shares of our common stock (the “Magna Shares”), subject to adjustments as provided therein, at an exercise price of $0.01 per share.</w:t>
      </w:r>
    </w:p>
    <w:p>
      <w:pPr>
        <w:spacing w:after="0" w:line="13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auto"/>
        </w:rPr>
        <w:t>The Magna Warrant will be exercisable in two equal tranches: (i) the first tranche will become exercisable no later than May 15, 2024, subject to certain conditions; and</w:t>
      </w:r>
    </w:p>
    <w:p>
      <w:pPr>
        <w:spacing w:after="0" w:line="30" w:lineRule="exact"/>
        <w:rPr>
          <w:sz w:val="20"/>
          <w:szCs w:val="20"/>
          <w:color w:val="auto"/>
        </w:rPr>
      </w:pPr>
    </w:p>
    <w:p>
      <w:pPr>
        <w:jc w:val="both"/>
        <w:ind w:left="9" w:hanging="9"/>
        <w:spacing w:after="0" w:line="264" w:lineRule="auto"/>
        <w:tabs>
          <w:tab w:leader="none" w:pos="25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Shares will vest and become exercisable upon any “change of control” (as defined in the Magna Warrant).</w:t>
      </w:r>
    </w:p>
    <w:p>
      <w:pPr>
        <w:spacing w:after="0" w:line="200" w:lineRule="exact"/>
        <w:rPr>
          <w:sz w:val="20"/>
          <w:szCs w:val="20"/>
          <w:color w:val="auto"/>
        </w:rPr>
      </w:pPr>
    </w:p>
    <w:p>
      <w:pPr>
        <w:spacing w:after="0" w:line="3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18415</wp:posOffset>
            </wp:positionV>
            <wp:extent cx="714502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29"/>
          </w:cols>
          <w:pgMar w:left="431" w:top="1019" w:right="439" w:bottom="1440" w:gutter="0" w:footer="0" w:header="0"/>
        </w:sectPr>
      </w:pPr>
    </w:p>
    <w:bookmarkStart w:id="6" w:name="page7"/>
    <w:bookmarkEnd w:id="6"/>
    <w:p>
      <w:pPr>
        <w:jc w:val="both"/>
        <w:spacing w:after="0" w:line="29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5349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5349875"/>
                    </a:xfrm>
                    <a:prstGeom prst="rect">
                      <a:avLst/>
                    </a:prstGeom>
                    <a:noFill/>
                  </pic:spPr>
                </pic:pic>
              </a:graphicData>
            </a:graphic>
          </wp:anchor>
        </w:drawing>
        <w:t>The shares of Magna Warrant Stock that may be issued pursuant to the exercise of the Magna Warrant are being offered and sold in a transaction exempt from registration under the Securities Act in reliance on Section 4(a)(2) of the Securities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Promissory Notes Offering</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an initial closing on January 2, 2024 and subsequent closings on January 12, 2024, January 22, 2024 and January 26, 2024, we issued convertible promissory notes (the “Convertible Promissory Notes”) to certain accredited investors (the “Purchasers”). The Convertible Promissory Notes bear interest at a rate of 6.00% per year, compounded annually, and are due and payable upon request by each Purchaser on or after the 12-month anniversary of the original issuance date of each Convertible Promissory Note. The Company may not prepay or repay the Convertible Promissory Notes in cash without the consent of the Purchasers. The aggregate gross proceeds from the issuance of the Convertible Promissory Notes was $4.9 million. Additional Convertible Promissory Notes may be sold up to an aggregate offering amount of $6.5 million.</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the event that we issue and sell shares of our common stock, par value $0.0001 per share (our “common stock”) to investors (the “Investors”) in a firm-commitment underwritten public offering pursuant to an effective registration statement under the Securities Act with total proceeds to the Company of not less than $30,000,000 (excluding the conversion of the Convertible Promissory Notes or other convertible securities issued for capital raising purposes) (a “Qualified Financing”) while the Convertible Promissory Notes remain outstanding, then the outstanding principal amount of the Convertible Promissory Notes and any unpaid accrued interest shall automatically convert in whole without any further action by the Purchasers into common stock sold in the Qualified Financing at a conversion price per share equal to the lesser of (i) the cash price paid per share for common stock by the Investors in the Qualified Financing multiplied by 0.75, and (ii) the quotient resulting from dividing $80,000,000 by the number of outstanding shares of common stock immediately prior to the Qualified Financing (assuming the conversion of all outstanding securities convertible into or exercisable for shares of common stock, including all shares reserved and available for future grant under the Company’s compensation plans) (the “Conversion Price”).</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the event the we consummate an equity financing pursuant to which we sell shares of our capital stock in a transaction for capital raising purposes that does not constitute a Qualified Financing while the Convertible Promissory Notes remain outstanding, then the Purchasers have the option to treat such equity financing as a Qualified Financing on the same terms set forth therein and thereby convert the outstanding principal amount of the Convertible Promissory Notes and any unpaid accrued interest into the shares of capital stock issued in such equity financing on the same terms and conditions as would otherwise apply to conversion of the Convertible Promissory Notes into shares of common stock in a Qualified Financing.</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addition, while the Convertible Promissory Notes remain outstanding, the Purchasers have the option to convert the outstanding principal amount of the Notes and any unpaid accrued interest into shares of common stock (or at each Purchaser’s option, a more senior class or series of stock of the Company, if such class or series exists) at a conversion price per share equal to the quotient resulting from dividing $80,000,000 by the number of outstanding shares of common stock at the time of such conversion (assuming the conversion of all outstanding securities convertible into or exercisable for shares of common stock, including all shares reserved and available for future grant under the Company’s compensation plans).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If we consummate a “change of control” (as defined in the Convertible Promissory Notes) while the Convertible Promissory Notes remain outstanding, we will repay the Purchasers in cash in an amount equal to (i) the outstanding principal amount of the Convertible Promissory Notes plus any unpaid accrued interest on the original principal, plus (ii) a repayment premium equal to 100% of the outstanding principal amount of the Convertible Promissory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upon the written election of any Purchaser made not less than five days prior to the change of control, we will convert the outstanding principal balance of the Convertible Promissory Notes and any unpaid accrued interest into shares of common stock at a conversion price per share equal to the quotient resulting from dividing $80,000,000 by the number of outstanding shares of common stock immediately prior to the change of control (assuming the conversion of all outstanding securities convertible into or exercisable for shares of common stock, including all shares reserved and available for future grant under our compensation plans).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502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20"/>
          </w:cols>
          <w:pgMar w:left="440" w:top="1019" w:right="439" w:bottom="1440" w:gutter="0" w:footer="0" w:header="0"/>
        </w:sectPr>
      </w:pPr>
    </w:p>
    <w:bookmarkStart w:id="7" w:name="page8"/>
    <w:bookmarkEnd w:id="7"/>
    <w:p>
      <w:pPr>
        <w:jc w:val="both"/>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6097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6097905"/>
                    </a:xfrm>
                    <a:prstGeom prst="rect">
                      <a:avLst/>
                    </a:prstGeom>
                    <a:noFill/>
                  </pic:spPr>
                </pic:pic>
              </a:graphicData>
            </a:graphic>
          </wp:anchor>
        </w:drawing>
        <w:t>The Convertible Promissory Notes provide for certain registration rights, pursuant to which we agreed that as soon as practicable, but no later than 45 days after the date of issuance of any shares upon the conversion of the Convertible Promissory Notes (the “Conversion Shares”), we will use our best efforts to file, subject to customary exceptions, a registration statement with the SEC covering the Conversion Shares.</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connection with the issuance of the shares issuable upon conversion of the Convertible Promissory Notes, we will issue non-transferrable warrants to the placement agent engaged for the Convertible Promissory Notes offering (the “Convertible Promissory Notes Offering Warrants”) to purchase such number of shares of our common stock equal to 10% of the number of shares of common stock into which the Convertible Promissory Notes sold to investors introduced by the placement agent are initially convertible. The Convertible Promissory Notes Offering Warrants will be exercisable at the same price as the Conversion Price. The Convertible Promissory Notes Offering Warrants shall be for a term of five years from the date of issuance and shall have cashless exercise and such other provisions as are customary for warrants of this nature. The shares of common stock issuable upon exercise of the Convertible Promissory Notes Offering Warrants will be registered under the registration statement to be filed with respect to the Conversion Shares.</w:t>
      </w:r>
    </w:p>
    <w:p>
      <w:pPr>
        <w:spacing w:after="0" w:line="16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The issuance of the Convertible Promissory Notes and the Convertible Promissory Notes Offering Warrants are exempt from registration under Section 4(a)(2) of the Securities Act and Rule 506 of Regulation D promulgated by the SEC thereunder.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Merger Agreement</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July 31, 2023, we, our wholly-owned subsidiary, Serve Acquisition Co., a corporation formed in the State of Delaware on July 10, 2023 (“Acquisition Sub”), and Serve entered into an Agreement and Plan of Merger and Reorganization (the “Merger Agreement”). Pursuant to the terms of the Merger Agreement, on July 31, 2023 (the “Closing Date”), Acquisition Sub merged with and into Serve, with Serve continuing as the surviving corporation and our wholly-owned subsidiary (the “Merger”).</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a result of the Merger, we acquired the business of Serve, which designs, develops and operates an advanced, AI-powered robotics mobility platform, with last mile delivery in cities as its first application. See “</w:t>
      </w:r>
      <w:r>
        <w:rPr>
          <w:rFonts w:ascii="Times New Roman" w:cs="Times New Roman" w:eastAsia="Times New Roman" w:hAnsi="Times New Roman"/>
          <w:sz w:val="16"/>
          <w:szCs w:val="16"/>
          <w:i w:val="1"/>
          <w:iCs w:val="1"/>
          <w:color w:val="auto"/>
        </w:rPr>
        <w:t>Description of our Business</w:t>
      </w:r>
      <w:r>
        <w:rPr>
          <w:rFonts w:ascii="Times New Roman" w:cs="Times New Roman" w:eastAsia="Times New Roman" w:hAnsi="Times New Roman"/>
          <w:sz w:val="16"/>
          <w:szCs w:val="16"/>
          <w:color w:val="auto"/>
        </w:rPr>
        <w:t>” below. At the time the certificate of merger reflecting the Merger was filed with the Secretary of State of Delaware (the “Effective Time”), each of Serve’s shares of capital stock issued and outstanding immediately prior to the closing of the Merger was converted into the right to receive 0.8035 shares of our common stock (the “Common Share Conversion Ratio”)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Company common stock owned by our stockholders prior to the Merger were forfeited and canceled (the “Stock Forfeiture”). In addition, pursuant to the Merger Agreement, (i) options to purchase 1,984,951 shares of Serve’s common stock issued and outstanding immediately prior to the closing of the Merger under Serve’s 2021 Stock Plan (the “Serve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simple agreement for future equity (“SAFEs”) totaling $15.55 million were converted into 4,372,613 shares of our common stock.</w:t>
      </w:r>
    </w:p>
    <w:p>
      <w:pPr>
        <w:spacing w:after="0" w:line="3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Following the closing of the Merger, Patricia Acquisition Corp. changed its name to Serve Robotics Inc. The issuance of shares of our common stock, options, or warrants to purchase shares of our common stock to Serve’s former security holders are collectively referred to as the “Share Conversion.” See “</w:t>
      </w:r>
      <w:r>
        <w:rPr>
          <w:rFonts w:ascii="Times New Roman" w:cs="Times New Roman" w:eastAsia="Times New Roman" w:hAnsi="Times New Roman"/>
          <w:sz w:val="16"/>
          <w:szCs w:val="16"/>
          <w:i w:val="1"/>
          <w:iCs w:val="1"/>
          <w:color w:val="auto"/>
        </w:rPr>
        <w:t>Description of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elsewhere in this prospectus for more information.</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As a condition to the Merger, on July 31, 2023, we entered into indemnity agreements with our former officer and directors (the “Pre-Merger Indemnity Agreement”), pursuant to which we agreed to indemnify such former officer and directors for actions taken by them in their official capacities relating to the consideration, approval and consummation of the Merger and certain related transactions.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Merger was treated as a recapitalization and reverse acquisition for us for financial reporting purposes. Serve is considered the acquirer for accounting purposes. Our historical financial statements before the Merger have been replaced with the historical financial statements of Serve before the Merger in the registration statement of which this prospectus is a part, and in future filings with the SEC. The Merger is intended to be treated as a tax-free reorganization under Section 368(a) of the Internal Revenue Code of 1986, as amended (the “Code”).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502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20"/>
          </w:cols>
          <w:pgMar w:left="440" w:top="1019" w:right="439" w:bottom="1440" w:gutter="0" w:footer="0" w:header="0"/>
        </w:sectPr>
      </w:pPr>
    </w:p>
    <w:bookmarkStart w:id="8" w:name="page9"/>
    <w:bookmarkEnd w:id="8"/>
    <w:p>
      <w:pPr>
        <w:jc w:val="both"/>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5848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845" cy="5848350"/>
                    </a:xfrm>
                    <a:prstGeom prst="rect">
                      <a:avLst/>
                    </a:prstGeom>
                    <a:noFill/>
                  </pic:spPr>
                </pic:pic>
              </a:graphicData>
            </a:graphic>
          </wp:anchor>
        </w:drawing>
        <w:t>The securities issued pursuant to the Share Conversion (the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The Converted Securities are also subject to further contractual restrictions on transfer under the lock-up agreement, pursuant to which, subject to certain exceptions, applicable holders are not to dispose of or hedge any shares of common stock or securities convertible into or exchangeable for shares of common stock during the period from July 31, 2023, the date of the lock-up agreement, continuing through the date 12 months after the date of the lockup agreement.</w:t>
      </w:r>
    </w:p>
    <w:p>
      <w:pPr>
        <w:spacing w:after="0" w:line="16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Following the lock-up periods set forth in the agreements described above, shares of our common stock will be eligible for sale in the public market in compliance with Rule 144 or another exemption under the Securities Act or pursuant to the registration statement of which this prospectus forms a part.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Following the Effective Time of the Merger, we sold 3,183,671 shares of our common stock pursuant to a private placement offering, at a purchase price of $4.00 per share in multiple closings through October 26, 2023. The private placement offering is referred to herein as the “Private Placement.” We also issued 937,961 shares of our common stock to convert the outstanding principal and interest of outstanding Bridge Notes in connection with the consummation of the Merger.</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aggregate gross proceeds from the Private Placement was approximately $15.74 million (including the aggregate principal amount of Bridge Notes converted as more fully described in the section titled “</w:t>
      </w:r>
      <w:r>
        <w:rPr>
          <w:rFonts w:ascii="Times New Roman" w:cs="Times New Roman" w:eastAsia="Times New Roman" w:hAnsi="Times New Roman"/>
          <w:sz w:val="16"/>
          <w:szCs w:val="16"/>
          <w:i w:val="1"/>
          <w:iCs w:val="1"/>
          <w:color w:val="auto"/>
        </w:rPr>
        <w:t>Description of the Merger, the Offering, and Related Transactions</w:t>
      </w:r>
      <w:r>
        <w:rPr>
          <w:rFonts w:ascii="Times New Roman" w:cs="Times New Roman" w:eastAsia="Times New Roman" w:hAnsi="Times New Roman"/>
          <w:sz w:val="16"/>
          <w:szCs w:val="16"/>
          <w:color w:val="auto"/>
        </w:rPr>
        <w:t>,” before deducting placement agent fees and expenses of approximately $1.74 million).</w:t>
      </w:r>
    </w:p>
    <w:p>
      <w:pPr>
        <w:spacing w:after="0" w:line="15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The Offering was exempt from registration under Section 4(a)(2) of the Securities Act and Rule 506 of Regulation D promulgated by the SEC thereunder. The common stock was sold to “accredited investors,” as defined in Regulation D, and was conducted on a “reasonable best efforts” basis.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Investing in our common stock involves substantial risk. Our ability to execute our strategy is also subject to certain risks. The risks described under the heading “</w:t>
      </w:r>
      <w:r>
        <w:rPr>
          <w:rFonts w:ascii="Times New Roman" w:cs="Times New Roman" w:eastAsia="Times New Roman" w:hAnsi="Times New Roman"/>
          <w:sz w:val="16"/>
          <w:szCs w:val="16"/>
          <w:i w:val="1"/>
          <w:iCs w:val="1"/>
          <w:color w:val="auto"/>
        </w:rPr>
        <w:t>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w:t>
      </w:r>
      <w:r>
        <w:rPr>
          <w:rFonts w:ascii="Times New Roman" w:cs="Times New Roman" w:eastAsia="Times New Roman" w:hAnsi="Times New Roman"/>
          <w:sz w:val="16"/>
          <w:szCs w:val="16"/>
          <w:color w:val="auto"/>
        </w:rPr>
        <w:t>” included elsewhere in this prospectus may cause us not to realize the full benefits of our strengths or may cause us to be unable to successfully execute all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 of our strategy. Some of the most significant challenges and risks include the following:</w:t>
      </w:r>
    </w:p>
    <w:p>
      <w:pPr>
        <w:spacing w:after="0" w:line="153" w:lineRule="exact"/>
        <w:rPr>
          <w:sz w:val="20"/>
          <w:szCs w:val="20"/>
          <w:color w:val="auto"/>
        </w:rPr>
      </w:pPr>
    </w:p>
    <w:p>
      <w:pPr>
        <w:ind w:left="880" w:right="20" w:hanging="300"/>
        <w:spacing w:after="0" w:line="294"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38" w:lineRule="exact"/>
        <w:rPr>
          <w:rFonts w:ascii="Times New Roman" w:cs="Times New Roman" w:eastAsia="Times New Roman" w:hAnsi="Times New Roman"/>
          <w:sz w:val="16"/>
          <w:szCs w:val="16"/>
          <w:color w:val="auto"/>
        </w:rPr>
      </w:pPr>
    </w:p>
    <w:p>
      <w:pPr>
        <w:ind w:left="880" w:hanging="300"/>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limited operating history, which may make it difficult to evaluate our business and prospects.</w:t>
      </w:r>
    </w:p>
    <w:p>
      <w:pPr>
        <w:spacing w:after="0" w:line="20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effectively manage our growth, we may not be able to design, develop, manufacture, market and launch new generations of our robotic systems successfully.</w:t>
      </w:r>
    </w:p>
    <w:p>
      <w:pPr>
        <w:spacing w:after="0" w:line="138" w:lineRule="exact"/>
        <w:rPr>
          <w:rFonts w:ascii="Times New Roman" w:cs="Times New Roman" w:eastAsia="Times New Roman" w:hAnsi="Times New Roman"/>
          <w:sz w:val="16"/>
          <w:szCs w:val="16"/>
          <w:color w:val="auto"/>
        </w:rPr>
      </w:pPr>
    </w:p>
    <w:p>
      <w:pPr>
        <w:ind w:left="880" w:hanging="300"/>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our revenue is concentrated with one customer.</w:t>
      </w:r>
    </w:p>
    <w:p>
      <w:pPr>
        <w:spacing w:after="0" w:line="208" w:lineRule="exact"/>
        <w:rPr>
          <w:rFonts w:ascii="Times New Roman" w:cs="Times New Roman" w:eastAsia="Times New Roman" w:hAnsi="Times New Roman"/>
          <w:sz w:val="16"/>
          <w:szCs w:val="16"/>
          <w:color w:val="auto"/>
        </w:rPr>
      </w:pPr>
    </w:p>
    <w:p>
      <w:pPr>
        <w:ind w:left="880" w:hanging="300"/>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revenue plans rely on partnering with third party delivery platforms, brand sponsors and/or direct sales to merchants.</w:t>
      </w:r>
    </w:p>
    <w:p>
      <w:pPr>
        <w:spacing w:after="0" w:line="208" w:lineRule="exact"/>
        <w:rPr>
          <w:rFonts w:ascii="Times New Roman" w:cs="Times New Roman" w:eastAsia="Times New Roman" w:hAnsi="Times New Roman"/>
          <w:sz w:val="16"/>
          <w:szCs w:val="16"/>
          <w:color w:val="auto"/>
        </w:rPr>
      </w:pPr>
    </w:p>
    <w:p>
      <w:pPr>
        <w:ind w:left="880" w:hanging="300"/>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service providers or disruptions to our outsourcing relationships might negatively impact our ability to conduct our business.</w:t>
      </w:r>
    </w:p>
    <w:p>
      <w:pPr>
        <w:spacing w:after="0" w:line="20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robots operate in public spaces and any errors caused by human supervisors, network connectivity issues, third-party software, or automation may adversely affect our commercial relationships.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502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20"/>
          </w:cols>
          <w:pgMar w:left="440" w:top="1019" w:right="439" w:bottom="1440" w:gutter="0" w:footer="0" w:header="0"/>
        </w:sectPr>
      </w:pPr>
    </w:p>
    <w:bookmarkStart w:id="9" w:name="page10"/>
    <w:bookmarkEnd w:id="9"/>
    <w:p>
      <w:pPr>
        <w:jc w:val="both"/>
        <w:ind w:left="300" w:hanging="300"/>
        <w:spacing w:after="0" w:line="275"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5848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845" cy="5848350"/>
                    </a:xfrm>
                    <a:prstGeom prst="rect">
                      <a:avLst/>
                    </a:prstGeom>
                    <a:noFill/>
                  </pic:spPr>
                </pic:pic>
              </a:graphicData>
            </a:graphic>
          </wp:anchor>
        </w:drawing>
        <w:t>Our robots rely on sophisticated software technology that incorporates third-party components and networks to operate, and the inability to maintain licenses for this software technology, errors in the software we license or the terms of open-source licenses could result in increased costs or reduced service levels, which would adversely affect our business.</w:t>
      </w:r>
    </w:p>
    <w:p>
      <w:pPr>
        <w:spacing w:after="0" w:line="152"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benefit of our products could be supplanted by other technologies or solutions or competitors’ products that utilize similar technology to ours in a more effective way.</w:t>
      </w:r>
    </w:p>
    <w:p>
      <w:pPr>
        <w:spacing w:after="0" w:line="138" w:lineRule="exact"/>
        <w:rPr>
          <w:rFonts w:ascii="Times New Roman" w:cs="Times New Roman" w:eastAsia="Times New Roman" w:hAnsi="Times New Roman"/>
          <w:sz w:val="16"/>
          <w:szCs w:val="16"/>
          <w:color w:val="auto"/>
        </w:rPr>
      </w:pPr>
    </w:p>
    <w:p>
      <w:pPr>
        <w:ind w:left="300" w:hanging="300"/>
        <w:spacing w:after="0"/>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limited experience commercializing our products at a large scale and may not be able to do so efficiently or effectively.</w:t>
      </w:r>
    </w:p>
    <w:p>
      <w:pPr>
        <w:spacing w:after="0" w:line="208" w:lineRule="exact"/>
        <w:rPr>
          <w:rFonts w:ascii="Times New Roman" w:cs="Times New Roman" w:eastAsia="Times New Roman" w:hAnsi="Times New Roman"/>
          <w:sz w:val="16"/>
          <w:szCs w:val="16"/>
          <w:color w:val="auto"/>
        </w:rPr>
      </w:pPr>
    </w:p>
    <w:p>
      <w:pPr>
        <w:jc w:val="both"/>
        <w:ind w:left="300" w:hanging="300"/>
        <w:spacing w:after="0" w:line="275"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substantially reliant on our relationships with suppliers and service providers for the parts and components in our robots, as well as for the manufacture of our robots. If any of these suppliers or service partners choose to not do business with us, then we would have significant difficulty in procuring and producing our robots and our business prospects would be significantly harmed.</w:t>
      </w:r>
    </w:p>
    <w:p>
      <w:pPr>
        <w:spacing w:after="0" w:line="152" w:lineRule="exact"/>
        <w:rPr>
          <w:rFonts w:ascii="Times New Roman" w:cs="Times New Roman" w:eastAsia="Times New Roman" w:hAnsi="Times New Roman"/>
          <w:sz w:val="16"/>
          <w:szCs w:val="16"/>
          <w:color w:val="auto"/>
        </w:rPr>
      </w:pPr>
    </w:p>
    <w:p>
      <w:pPr>
        <w:ind w:left="300" w:hanging="300"/>
        <w:spacing w:after="0"/>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evolving regulations around personal delivery devices (“PDDs”) could materially impact our business and growth prospects in new markets.</w:t>
      </w:r>
    </w:p>
    <w:p>
      <w:pPr>
        <w:spacing w:after="0" w:line="208" w:lineRule="exact"/>
        <w:rPr>
          <w:rFonts w:ascii="Times New Roman" w:cs="Times New Roman" w:eastAsia="Times New Roman" w:hAnsi="Times New Roman"/>
          <w:sz w:val="16"/>
          <w:szCs w:val="16"/>
          <w:color w:val="auto"/>
        </w:rPr>
      </w:pPr>
    </w:p>
    <w:p>
      <w:pPr>
        <w:jc w:val="both"/>
        <w:ind w:left="300" w:hanging="300"/>
        <w:spacing w:after="0" w:line="275"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cause significant safety concerns, each of which could adversely affect our results of operations, financial condition and our reputation.</w:t>
      </w:r>
    </w:p>
    <w:p>
      <w:pPr>
        <w:spacing w:after="0" w:line="152"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38"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competitive industry that is subject to rapid technological change, and competitors may have or attain more resources and/or greater market recognition than we do.</w:t>
      </w:r>
    </w:p>
    <w:p>
      <w:pPr>
        <w:spacing w:after="0" w:line="138"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cannot protect, maintain and, if necessary, enforce our intellectual property rights, our ability to develop and commercialize products will be adversely impacted.</w:t>
      </w:r>
    </w:p>
    <w:p>
      <w:pPr>
        <w:spacing w:after="0" w:line="138"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breaches and other disruptions could compromise our proprietary information and expose us to liability, which would cause our business and reputation to suffer.</w:t>
      </w:r>
    </w:p>
    <w:p>
      <w:pPr>
        <w:spacing w:after="0" w:line="138"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38"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38"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use of the internet via websites, mobile devices and other platforms, particularly with respect to online food ordering, does not continue, our business and growth prospects will be harmed.</w:t>
      </w:r>
    </w:p>
    <w:p>
      <w:pPr>
        <w:spacing w:after="0" w:line="138"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38" w:lineRule="exact"/>
        <w:rPr>
          <w:rFonts w:ascii="Times New Roman" w:cs="Times New Roman" w:eastAsia="Times New Roman" w:hAnsi="Times New Roman"/>
          <w:sz w:val="16"/>
          <w:szCs w:val="16"/>
          <w:color w:val="auto"/>
        </w:rPr>
      </w:pPr>
    </w:p>
    <w:p>
      <w:pPr>
        <w:ind w:left="300" w:hanging="300"/>
        <w:spacing w:after="0" w:line="294" w:lineRule="auto"/>
        <w:tabs>
          <w:tab w:leader="none" w:pos="3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successfully market our products and services, the purchase or subscription, adoption and use of the products and services may be materially and negatively impacted if our customers resist the use and adoption of the products and services.</w:t>
      </w:r>
    </w:p>
    <w:p>
      <w:pPr>
        <w:spacing w:after="0" w:line="200" w:lineRule="exact"/>
        <w:rPr>
          <w:sz w:val="20"/>
          <w:szCs w:val="20"/>
          <w:color w:val="auto"/>
        </w:rPr>
      </w:pPr>
    </w:p>
    <w:p>
      <w:pPr>
        <w:spacing w:after="0" w:line="3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18415</wp:posOffset>
            </wp:positionV>
            <wp:extent cx="714502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0420"/>
          </w:cols>
          <w:pgMar w:left="1020" w:top="1019" w:right="459" w:bottom="1440" w:gutter="0" w:footer="0" w:header="0"/>
        </w:sectPr>
      </w:pPr>
    </w:p>
    <w:bookmarkStart w:id="10" w:name="page11"/>
    <w:bookmarkEnd w:id="10"/>
    <w:p>
      <w:pPr>
        <w:ind w:left="880" w:hanging="300"/>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5723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845" cy="5723890"/>
                    </a:xfrm>
                    <a:prstGeom prst="rect">
                      <a:avLst/>
                    </a:prstGeom>
                    <a:noFill/>
                  </pic:spPr>
                </pic:pic>
              </a:graphicData>
            </a:graphic>
          </wp:anchor>
        </w:drawing>
        <w:t>Our systems, products, technologies and services and related equipment may have shorter useful lives than we anticipate.</w:t>
      </w:r>
    </w:p>
    <w:p>
      <w:pPr>
        <w:spacing w:after="0" w:line="20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any manufacturing partners, and suppliers may rely on complex machinery for production, which involves a significant degree of risk and uncertainty in terms of operational performance and costs.</w:t>
      </w:r>
    </w:p>
    <w:p>
      <w:pPr>
        <w:spacing w:after="0" w:line="138" w:lineRule="exact"/>
        <w:rPr>
          <w:rFonts w:ascii="Times New Roman" w:cs="Times New Roman" w:eastAsia="Times New Roman" w:hAnsi="Times New Roman"/>
          <w:sz w:val="16"/>
          <w:szCs w:val="16"/>
          <w:color w:val="auto"/>
        </w:rPr>
      </w:pPr>
    </w:p>
    <w:p>
      <w:pPr>
        <w:ind w:left="880" w:hanging="300"/>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adequately control the costs associated with our operations.</w:t>
      </w:r>
    </w:p>
    <w:p>
      <w:pPr>
        <w:spacing w:after="0" w:line="20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3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cybersecurity risks to our operational systems, security systems, infrastructure, integrated software in our products and data processed by us or third-party vendors.</w:t>
      </w:r>
    </w:p>
    <w:p>
      <w:pPr>
        <w:spacing w:after="0" w:line="13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intend to pay dividends for the foreseeable future and, as a result, your ability to achieve a return on your investment will depend on appreciation in the price of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 and a Smaller Reporting Company</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153" w:lineRule="exact"/>
        <w:rPr>
          <w:sz w:val="20"/>
          <w:szCs w:val="20"/>
          <w:color w:val="auto"/>
        </w:rPr>
      </w:pPr>
    </w:p>
    <w:p>
      <w:pPr>
        <w:ind w:left="880" w:right="20" w:hanging="300"/>
        <w:spacing w:after="0" w:line="294"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p>
      <w:pPr>
        <w:spacing w:after="0" w:line="138" w:lineRule="exact"/>
        <w:rPr>
          <w:rFonts w:ascii="Times New Roman" w:cs="Times New Roman" w:eastAsia="Times New Roman" w:hAnsi="Times New Roman"/>
          <w:sz w:val="16"/>
          <w:szCs w:val="16"/>
          <w:color w:val="auto"/>
        </w:rPr>
      </w:pPr>
    </w:p>
    <w:p>
      <w:pPr>
        <w:ind w:left="880" w:hanging="300"/>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about our executive compensation arrangements;</w:t>
      </w:r>
    </w:p>
    <w:p>
      <w:pPr>
        <w:spacing w:after="0" w:line="20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the auditor attestation requirements of Section 404 of the Sarbanes-Oxley Act, as amended, on the effectiveness of our internal controls over financial reporting;</w:t>
      </w:r>
    </w:p>
    <w:p>
      <w:pPr>
        <w:spacing w:after="0" w:line="13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obligations regarding executive compensation arrangements in our periodic reports, proxy statements and registration statements, including this prospectus; and</w:t>
      </w:r>
    </w:p>
    <w:p>
      <w:pPr>
        <w:spacing w:after="0" w:line="13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a nonbinding advisory vote on executive compensation and stockholder approval of any golden parachute payments not previously approved.</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may use these provisions until the last day of our fiscal year in which the fifth anniversary of the first sale of our common stock pursuant to an effective registration statement occurs.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502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20"/>
          </w:cols>
          <w:pgMar w:left="440" w:top="1019" w:right="439" w:bottom="1440" w:gutter="0" w:footer="0" w:header="0"/>
        </w:sectPr>
      </w:pPr>
    </w:p>
    <w:bookmarkStart w:id="11" w:name="page12"/>
    <w:bookmarkEnd w:id="11"/>
    <w:p>
      <w:pPr>
        <w:jc w:val="both"/>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4352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845" cy="4352290"/>
                    </a:xfrm>
                    <a:prstGeom prst="rect">
                      <a:avLst/>
                    </a:prstGeom>
                    <a:noFill/>
                  </pic:spPr>
                </pic:pic>
              </a:graphicData>
            </a:graphic>
          </wp:anchor>
        </w:drawing>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were incorporated in Delaware as Patricia Acquisition Corp. on November 9, 2020. On July 31, 2023, Serve Acquisition Corp. merged with and into Serve.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Immediately after completion of the Merger, we changed our name to “Serve Robotics Inc.”</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Prior to the Merger, Patricia Acquisition Corp. was a “shell” company registered under the Exchange Act, with no specific business plan or purpose until it began operating the business of Serve following the closing of the Merger.</w:t>
      </w:r>
    </w:p>
    <w:p>
      <w:pPr>
        <w:spacing w:after="0" w:line="13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 xml:space="preserve">Our principal executive offices are located at 730 Broadway, Redwood City, California 94063. Our telephone number is (818) 860-1352. Our website address is </w:t>
      </w:r>
      <w:r>
        <w:rPr>
          <w:rFonts w:ascii="Times New Roman" w:cs="Times New Roman" w:eastAsia="Times New Roman" w:hAnsi="Times New Roman"/>
          <w:sz w:val="16"/>
          <w:szCs w:val="16"/>
          <w:i w:val="1"/>
          <w:iCs w:val="1"/>
          <w:color w:val="auto"/>
        </w:rPr>
        <w:t xml:space="preserve">www.serverobotics.com. </w:t>
      </w:r>
      <w:r>
        <w:rPr>
          <w:rFonts w:ascii="Times New Roman" w:cs="Times New Roman" w:eastAsia="Times New Roman" w:hAnsi="Times New Roman"/>
          <w:sz w:val="16"/>
          <w:szCs w:val="16"/>
          <w:color w:val="auto"/>
        </w:rPr>
        <w:t>Information contained on, or that can be accessed through, our website is not a part of this prospectus.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owners.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502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20"/>
          </w:cols>
          <w:pgMar w:left="440" w:top="1019"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5349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845" cy="5349875"/>
                    </a:xfrm>
                    <a:prstGeom prst="rect">
                      <a:avLst/>
                    </a:prstGeom>
                    <a:noFill/>
                  </pic:spPr>
                </pic:pic>
              </a:graphicData>
            </a:graphic>
          </wp:anchor>
        </w:drawing>
        <w:t>THE OFFERING</w:t>
      </w:r>
    </w:p>
    <w:p>
      <w:pPr>
        <w:sectPr>
          <w:pgSz w:w="11900" w:h="16838" w:orient="portrait"/>
          <w:cols w:equalWidth="0" w:num="1">
            <w:col w:w="11000"/>
          </w:cols>
          <w:pgMar w:left="440" w:top="1015" w:right="45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common stock</w:t>
      </w:r>
    </w:p>
    <w:p>
      <w:pPr>
        <w:spacing w:after="0" w:line="200" w:lineRule="exact"/>
        <w:rPr>
          <w:sz w:val="20"/>
          <w:szCs w:val="20"/>
          <w:color w:val="auto"/>
        </w:rPr>
      </w:pPr>
    </w:p>
    <w:p>
      <w:pPr>
        <w:sectPr>
          <w:pgSz w:w="11900" w:h="16838" w:orient="portrait"/>
          <w:cols w:equalWidth="0" w:num="2">
            <w:col w:w="3160" w:space="720"/>
            <w:col w:w="7120"/>
          </w:cols>
          <w:pgMar w:left="440" w:top="1015" w:right="4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6"/>
          <w:szCs w:val="16"/>
          <w:color w:val="auto"/>
        </w:rPr>
        <w:t>We have granted the underwriters an option, exercisable for 45 days after closing of this offering, to purchase up to additional shares of common stock from us at the initial public offering price per share less the underwriting discounts and commissions, solely to cover over-allotments, if any.</w:t>
      </w:r>
    </w:p>
    <w:p>
      <w:pPr>
        <w:spacing w:after="0" w:line="149" w:lineRule="exact"/>
        <w:rPr>
          <w:sz w:val="20"/>
          <w:szCs w:val="20"/>
          <w:color w:val="auto"/>
        </w:rPr>
      </w:pPr>
    </w:p>
    <w:p>
      <w:pPr>
        <w:sectPr>
          <w:pgSz w:w="11900" w:h="16838" w:orient="portrait"/>
          <w:cols w:equalWidth="0" w:num="2">
            <w:col w:w="2580" w:space="720"/>
            <w:col w:w="7700"/>
          </w:cols>
          <w:pgMar w:left="440" w:top="101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shares</w:t>
      </w:r>
    </w:p>
    <w:p>
      <w:pPr>
        <w:spacing w:after="0" w:line="200" w:lineRule="exact"/>
        <w:rPr>
          <w:sz w:val="20"/>
          <w:szCs w:val="20"/>
          <w:color w:val="auto"/>
        </w:rPr>
      </w:pPr>
    </w:p>
    <w:p>
      <w:pPr>
        <w:sectPr>
          <w:pgSz w:w="11900" w:h="16838" w:orient="portrait"/>
          <w:cols w:equalWidth="0" w:num="2">
            <w:col w:w="3280" w:space="600"/>
            <w:col w:w="7120"/>
          </w:cols>
          <w:pgMar w:left="440" w:top="1015" w:right="4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outstanding immediately 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shares (or</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Times New Roman" w:cs="Times New Roman" w:eastAsia="Times New Roman" w:hAnsi="Times New Roman"/>
          <w:sz w:val="16"/>
          <w:szCs w:val="16"/>
          <w:color w:val="auto"/>
        </w:rPr>
        <w:t>shares if the underwriters exercise their option to purchase additional shares in full)</w:t>
      </w:r>
    </w:p>
    <w:p>
      <w:pPr>
        <w:spacing w:after="0" w:line="30" w:lineRule="exact"/>
        <w:rPr>
          <w:sz w:val="20"/>
          <w:szCs w:val="20"/>
          <w:color w:val="auto"/>
        </w:rPr>
      </w:pPr>
    </w:p>
    <w:p>
      <w:pPr>
        <w:sectPr>
          <w:pgSz w:w="11900" w:h="16838" w:orient="portrait"/>
          <w:cols w:equalWidth="0" w:num="3">
            <w:col w:w="3180" w:space="700"/>
            <w:col w:w="640" w:space="520"/>
            <w:col w:w="5960"/>
          </w:cols>
          <w:pgMar w:left="440" w:top="1015" w:right="45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this offering</w:t>
            </w:r>
          </w:p>
        </w:tc>
        <w:tc>
          <w:tcPr>
            <w:tcW w:w="20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354"/>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Use of proceeds</w:t>
            </w: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We estimate that our net proceeds from the sale of the shares of common stock that we are offering will be</w:t>
            </w:r>
          </w:p>
        </w:tc>
      </w:tr>
      <w:tr>
        <w:trPr>
          <w:trHeight w:val="196"/>
        </w:trPr>
        <w:tc>
          <w:tcPr>
            <w:tcW w:w="2520" w:type="dxa"/>
            <w:vAlign w:val="bottom"/>
          </w:tcPr>
          <w:p>
            <w:pPr>
              <w:spacing w:after="0"/>
              <w:rPr>
                <w:sz w:val="17"/>
                <w:szCs w:val="17"/>
                <w:color w:val="auto"/>
              </w:rPr>
            </w:pPr>
          </w:p>
        </w:tc>
        <w:tc>
          <w:tcPr>
            <w:tcW w:w="20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approximately $</w:t>
            </w:r>
          </w:p>
        </w:tc>
        <w:tc>
          <w:tcPr>
            <w:tcW w:w="2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million (or approximately $</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 if the underwriters exercise their option to purchase</w:t>
            </w:r>
          </w:p>
        </w:tc>
      </w:tr>
      <w:tr>
        <w:trPr>
          <w:trHeight w:val="196"/>
        </w:trPr>
        <w:tc>
          <w:tcPr>
            <w:tcW w:w="2520" w:type="dxa"/>
            <w:vAlign w:val="bottom"/>
          </w:tcPr>
          <w:p>
            <w:pPr>
              <w:spacing w:after="0"/>
              <w:rPr>
                <w:sz w:val="17"/>
                <w:szCs w:val="17"/>
                <w:color w:val="auto"/>
              </w:rPr>
            </w:pPr>
          </w:p>
        </w:tc>
        <w:tc>
          <w:tcPr>
            <w:tcW w:w="570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additional shares in full), assuming an initial public offering price of $</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 share, which is the midpoint of the</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estimated offering price range set forth on the cover page of this prospectus, and after deducting the estimated</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underwriting discounts and commissions and estimated offering expenses payable by us. The principal purposes of</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this offering are to increase our financial flexibility, create a public market for our common stock, and facilitate our</w:t>
            </w:r>
          </w:p>
        </w:tc>
      </w:tr>
      <w:tr>
        <w:trPr>
          <w:trHeight w:val="214"/>
        </w:trPr>
        <w:tc>
          <w:tcPr>
            <w:tcW w:w="2520" w:type="dxa"/>
            <w:vAlign w:val="bottom"/>
          </w:tcPr>
          <w:p>
            <w:pPr>
              <w:spacing w:after="0"/>
              <w:rPr>
                <w:sz w:val="18"/>
                <w:szCs w:val="18"/>
                <w:color w:val="auto"/>
              </w:rPr>
            </w:pPr>
          </w:p>
        </w:tc>
        <w:tc>
          <w:tcPr>
            <w:tcW w:w="43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future access to the capital markets.</w:t>
            </w:r>
          </w:p>
        </w:tc>
        <w:tc>
          <w:tcPr>
            <w:tcW w:w="13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373"/>
        </w:trPr>
        <w:tc>
          <w:tcPr>
            <w:tcW w:w="2520" w:type="dxa"/>
            <w:vAlign w:val="bottom"/>
          </w:tcPr>
          <w:p>
            <w:pPr>
              <w:spacing w:after="0"/>
              <w:rPr>
                <w:sz w:val="24"/>
                <w:szCs w:val="24"/>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We currently intend to use the net proceeds we receive from this offering for general corporate purposes, including</w:t>
            </w:r>
          </w:p>
        </w:tc>
      </w:tr>
      <w:tr>
        <w:trPr>
          <w:trHeight w:val="198"/>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operating expenses, capital expenditures and working capital. See the section titled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for additional</w:t>
            </w:r>
          </w:p>
        </w:tc>
      </w:tr>
      <w:tr>
        <w:trPr>
          <w:trHeight w:val="214"/>
        </w:trPr>
        <w:tc>
          <w:tcPr>
            <w:tcW w:w="2520" w:type="dxa"/>
            <w:vAlign w:val="bottom"/>
          </w:tcPr>
          <w:p>
            <w:pPr>
              <w:spacing w:after="0"/>
              <w:rPr>
                <w:sz w:val="18"/>
                <w:szCs w:val="18"/>
                <w:color w:val="auto"/>
              </w:rPr>
            </w:pPr>
          </w:p>
        </w:tc>
        <w:tc>
          <w:tcPr>
            <w:tcW w:w="20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information.</w:t>
            </w: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375"/>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[Underwriter’s Warrants</w:t>
            </w:r>
          </w:p>
        </w:tc>
        <w:tc>
          <w:tcPr>
            <w:tcW w:w="570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We have agreed to issue to the underwriter warrants to purchase up to</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shares of our common stock, which</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equates to 5.0% of the number of shares of our common stock sold in the offering, other than shares sold pursuant to</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exercise of the over-allotment option described below, if any (the “Underwriter’s Warrants”).  The warrants are</w:t>
            </w:r>
          </w:p>
        </w:tc>
      </w:tr>
      <w:tr>
        <w:trPr>
          <w:trHeight w:val="196"/>
        </w:trPr>
        <w:tc>
          <w:tcPr>
            <w:tcW w:w="2520" w:type="dxa"/>
            <w:vAlign w:val="bottom"/>
          </w:tcPr>
          <w:p>
            <w:pPr>
              <w:spacing w:after="0"/>
              <w:rPr>
                <w:sz w:val="17"/>
                <w:szCs w:val="17"/>
                <w:color w:val="auto"/>
              </w:rPr>
            </w:pPr>
          </w:p>
        </w:tc>
        <w:tc>
          <w:tcPr>
            <w:tcW w:w="20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exercisable at $</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per share (125% of the public offering price per share of common stock) and will be</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exercisable beginning on the date which is six months from the commencement of sales under the registration</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statement of which this prospectus forms a part, will expire five years from such commencement of sales, and carry</w:t>
            </w:r>
          </w:p>
        </w:tc>
      </w:tr>
      <w:tr>
        <w:trPr>
          <w:trHeight w:val="194"/>
        </w:trPr>
        <w:tc>
          <w:tcPr>
            <w:tcW w:w="2520" w:type="dxa"/>
            <w:vAlign w:val="bottom"/>
          </w:tcPr>
          <w:p>
            <w:pPr>
              <w:spacing w:after="0"/>
              <w:rPr>
                <w:sz w:val="16"/>
                <w:szCs w:val="16"/>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certain registration rights. Such warrants and underlying shares of common stock are included in this prospectus. For</w:t>
            </w:r>
          </w:p>
        </w:tc>
      </w:tr>
      <w:tr>
        <w:trPr>
          <w:trHeight w:val="216"/>
        </w:trPr>
        <w:tc>
          <w:tcPr>
            <w:tcW w:w="2520" w:type="dxa"/>
            <w:vAlign w:val="bottom"/>
          </w:tcPr>
          <w:p>
            <w:pPr>
              <w:spacing w:after="0"/>
              <w:rPr>
                <w:sz w:val="18"/>
                <w:szCs w:val="18"/>
                <w:color w:val="auto"/>
              </w:rPr>
            </w:pPr>
          </w:p>
        </w:tc>
        <w:tc>
          <w:tcPr>
            <w:tcW w:w="43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additional information, see “</w:t>
            </w:r>
            <w:r>
              <w:rPr>
                <w:rFonts w:ascii="Times New Roman" w:cs="Times New Roman" w:eastAsia="Times New Roman" w:hAnsi="Times New Roman"/>
                <w:sz w:val="16"/>
                <w:szCs w:val="16"/>
                <w:i w:val="1"/>
                <w:iCs w:val="1"/>
                <w:color w:val="auto"/>
              </w:rPr>
              <w:t>Underwriting</w:t>
            </w:r>
            <w:r>
              <w:rPr>
                <w:rFonts w:ascii="Times New Roman" w:cs="Times New Roman" w:eastAsia="Times New Roman" w:hAnsi="Times New Roman"/>
                <w:sz w:val="16"/>
                <w:szCs w:val="16"/>
                <w:color w:val="auto"/>
              </w:rPr>
              <w:t>.”]</w:t>
            </w:r>
          </w:p>
        </w:tc>
        <w:tc>
          <w:tcPr>
            <w:tcW w:w="13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375"/>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Standstill</w:t>
            </w: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We have agreed that, without the prior written consent of the underwriter, we will not, for a period of twelve (12)</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months after the closing of this offering, subject to certain exceptions, (a) offer, sell, issue, or otherwise transfer or</w:t>
            </w:r>
          </w:p>
        </w:tc>
      </w:tr>
      <w:tr>
        <w:trPr>
          <w:trHeight w:val="196"/>
        </w:trPr>
        <w:tc>
          <w:tcPr>
            <w:tcW w:w="2520" w:type="dxa"/>
            <w:vAlign w:val="bottom"/>
          </w:tcPr>
          <w:p>
            <w:pPr>
              <w:spacing w:after="0"/>
              <w:rPr>
                <w:sz w:val="17"/>
                <w:szCs w:val="17"/>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dispose of, directly or indirectly, any of our equity securities or any securities convertible into or exercisable or</w:t>
            </w:r>
          </w:p>
        </w:tc>
      </w:tr>
      <w:tr>
        <w:trPr>
          <w:trHeight w:val="214"/>
        </w:trPr>
        <w:tc>
          <w:tcPr>
            <w:tcW w:w="2520" w:type="dxa"/>
            <w:vAlign w:val="bottom"/>
          </w:tcPr>
          <w:p>
            <w:pPr>
              <w:spacing w:after="0"/>
              <w:rPr>
                <w:sz w:val="18"/>
                <w:szCs w:val="18"/>
                <w:color w:val="auto"/>
              </w:rPr>
            </w:pPr>
          </w:p>
        </w:tc>
        <w:tc>
          <w:tcPr>
            <w:tcW w:w="848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rPr>
              <w:t>exchangeable for our equity securities; (b) file or caused to be filed any registration statement with the Commission</w:t>
            </w:r>
          </w:p>
        </w:tc>
      </w:tr>
    </w:tbl>
    <w:p>
      <w:pPr>
        <w:jc w:val="both"/>
        <w:ind w:left="3300"/>
        <w:spacing w:after="0" w:line="264" w:lineRule="auto"/>
        <w:rPr>
          <w:sz w:val="20"/>
          <w:szCs w:val="20"/>
          <w:color w:val="auto"/>
        </w:rPr>
      </w:pPr>
      <w:r>
        <w:rPr>
          <w:rFonts w:ascii="Times New Roman" w:cs="Times New Roman" w:eastAsia="Times New Roman" w:hAnsi="Times New Roman"/>
          <w:sz w:val="16"/>
          <w:szCs w:val="16"/>
          <w:color w:val="auto"/>
        </w:rPr>
        <w:t>relating to the offering of any of our equity securities or any securities convertible into or exercisable or exchangeable for our equity securities; or (c) enter into any agreement or announce the intention to effect any of the actions described in subsections (a) or (b) hereof. For additional information, see “</w:t>
      </w:r>
      <w:r>
        <w:rPr>
          <w:rFonts w:ascii="Times New Roman" w:cs="Times New Roman" w:eastAsia="Times New Roman" w:hAnsi="Times New Roman"/>
          <w:sz w:val="16"/>
          <w:szCs w:val="16"/>
          <w:i w:val="1"/>
          <w:iCs w:val="1"/>
          <w:color w:val="auto"/>
        </w:rPr>
        <w:t>Underwriting</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502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00"/>
          </w:cols>
          <w:pgMar w:left="440" w:top="1015" w:right="4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0"/>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Lock-up</w:t>
            </w: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We and our directors, executive officers, employees and principal stockholders (holding 5% or more of our common</w:t>
            </w:r>
          </w:p>
        </w:tc>
      </w:tr>
      <w:tr>
        <w:trPr>
          <w:trHeight w:val="196"/>
        </w:trPr>
        <w:tc>
          <w:tcPr>
            <w:tcW w:w="3280" w:type="dxa"/>
            <w:vAlign w:val="bottom"/>
          </w:tcPr>
          <w:p>
            <w:pPr>
              <w:spacing w:after="0"/>
              <w:rPr>
                <w:sz w:val="17"/>
                <w:szCs w:val="17"/>
                <w:color w:val="auto"/>
              </w:rPr>
            </w:pP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stock have agreed that, without the prior written consent of the underwriter, they will not, subject to certain</w:t>
            </w:r>
          </w:p>
        </w:tc>
      </w:tr>
      <w:tr>
        <w:trPr>
          <w:trHeight w:val="196"/>
        </w:trPr>
        <w:tc>
          <w:tcPr>
            <w:tcW w:w="3280" w:type="dxa"/>
            <w:vAlign w:val="bottom"/>
          </w:tcPr>
          <w:p>
            <w:pPr>
              <w:spacing w:after="0"/>
              <w:rPr>
                <w:sz w:val="17"/>
                <w:szCs w:val="17"/>
                <w:color w:val="auto"/>
              </w:rPr>
            </w:pP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exceptions, during the period ending 180 days after the date of this prospectus, offer, sell, contract to sell, encumber,</w:t>
            </w:r>
          </w:p>
        </w:tc>
      </w:tr>
      <w:tr>
        <w:trPr>
          <w:trHeight w:val="194"/>
        </w:trPr>
        <w:tc>
          <w:tcPr>
            <w:tcW w:w="3280" w:type="dxa"/>
            <w:vAlign w:val="bottom"/>
          </w:tcPr>
          <w:p>
            <w:pPr>
              <w:spacing w:after="0"/>
              <w:rPr>
                <w:sz w:val="16"/>
                <w:szCs w:val="16"/>
                <w:color w:val="auto"/>
              </w:rPr>
            </w:pP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grant any option for the sale of or otherwise dispose of any shares of our common stock or any securities convertible</w:t>
            </w:r>
          </w:p>
        </w:tc>
      </w:tr>
      <w:tr>
        <w:trPr>
          <w:trHeight w:val="216"/>
        </w:trPr>
        <w:tc>
          <w:tcPr>
            <w:tcW w:w="3280" w:type="dxa"/>
            <w:vAlign w:val="bottom"/>
          </w:tcPr>
          <w:p>
            <w:pPr>
              <w:spacing w:after="0"/>
              <w:rPr>
                <w:sz w:val="18"/>
                <w:szCs w:val="18"/>
                <w:color w:val="auto"/>
              </w:rPr>
            </w:pP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into or exercisable or exchangeable for shares of our common stock. For additional information, see “</w:t>
            </w:r>
            <w:r>
              <w:rPr>
                <w:rFonts w:ascii="Times New Roman" w:cs="Times New Roman" w:eastAsia="Times New Roman" w:hAnsi="Times New Roman"/>
                <w:sz w:val="16"/>
                <w:szCs w:val="16"/>
                <w:i w:val="1"/>
                <w:iCs w:val="1"/>
                <w:color w:val="auto"/>
              </w:rPr>
              <w:t>Underwriting</w:t>
            </w:r>
            <w:r>
              <w:rPr>
                <w:rFonts w:ascii="Times New Roman" w:cs="Times New Roman" w:eastAsia="Times New Roman" w:hAnsi="Times New Roman"/>
                <w:sz w:val="16"/>
                <w:szCs w:val="16"/>
                <w:color w:val="auto"/>
              </w:rPr>
              <w:t>.”</w:t>
            </w:r>
          </w:p>
        </w:tc>
      </w:tr>
      <w:tr>
        <w:trPr>
          <w:trHeight w:val="375"/>
        </w:trPr>
        <w:tc>
          <w:tcPr>
            <w:tcW w:w="3280" w:type="dxa"/>
            <w:vAlign w:val="bottom"/>
          </w:tcPr>
          <w:p>
            <w:pPr>
              <w:spacing w:after="0"/>
              <w:rPr>
                <w:sz w:val="24"/>
                <w:szCs w:val="24"/>
                <w:color w:val="auto"/>
              </w:rPr>
            </w:pP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Furthermore, in connection with the initial closing of the Private Placement, all officers, directors, and certain</w:t>
            </w:r>
          </w:p>
        </w:tc>
      </w:tr>
      <w:tr>
        <w:trPr>
          <w:trHeight w:val="196"/>
        </w:trPr>
        <w:tc>
          <w:tcPr>
            <w:tcW w:w="3280" w:type="dxa"/>
            <w:vAlign w:val="bottom"/>
          </w:tcPr>
          <w:p>
            <w:pPr>
              <w:spacing w:after="0"/>
              <w:rPr>
                <w:sz w:val="17"/>
                <w:szCs w:val="17"/>
                <w:color w:val="auto"/>
              </w:rPr>
            </w:pP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principal stockholders (holding 5% or more of our common stock) agreed, subject to certain exceptions, not to</w:t>
            </w:r>
          </w:p>
        </w:tc>
      </w:tr>
      <w:tr>
        <w:trPr>
          <w:trHeight w:val="196"/>
        </w:trPr>
        <w:tc>
          <w:tcPr>
            <w:tcW w:w="3280" w:type="dxa"/>
            <w:vAlign w:val="bottom"/>
          </w:tcPr>
          <w:p>
            <w:pPr>
              <w:spacing w:after="0"/>
              <w:rPr>
                <w:sz w:val="17"/>
                <w:szCs w:val="17"/>
                <w:color w:val="auto"/>
              </w:rPr>
            </w:pP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dispose of or hedge any shares of common stock or securities convertible into or exchangeable for shares of common</w:t>
            </w:r>
          </w:p>
        </w:tc>
      </w:tr>
      <w:tr>
        <w:trPr>
          <w:trHeight w:val="196"/>
        </w:trPr>
        <w:tc>
          <w:tcPr>
            <w:tcW w:w="3280" w:type="dxa"/>
            <w:vAlign w:val="bottom"/>
          </w:tcPr>
          <w:p>
            <w:pPr>
              <w:spacing w:after="0"/>
              <w:rPr>
                <w:sz w:val="17"/>
                <w:szCs w:val="17"/>
                <w:color w:val="auto"/>
              </w:rPr>
            </w:pP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stock during the period from July 31, 2023, the date of the lock-up agreement signed in connection with the Private</w:t>
            </w:r>
          </w:p>
        </w:tc>
      </w:tr>
      <w:tr>
        <w:trPr>
          <w:trHeight w:val="214"/>
        </w:trPr>
        <w:tc>
          <w:tcPr>
            <w:tcW w:w="328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Placement, through July 31, 2024.</w:t>
            </w:r>
          </w:p>
        </w:tc>
        <w:tc>
          <w:tcPr>
            <w:tcW w:w="2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75"/>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Risk factors</w:t>
            </w:r>
          </w:p>
        </w:tc>
        <w:tc>
          <w:tcPr>
            <w:tcW w:w="7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You should read the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of this prospectus for a discussion of factors to consider carefully before</w:t>
            </w:r>
          </w:p>
        </w:tc>
      </w:tr>
      <w:tr>
        <w:trPr>
          <w:trHeight w:val="214"/>
        </w:trPr>
        <w:tc>
          <w:tcPr>
            <w:tcW w:w="328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deciding to invest in shares of our common stock.</w:t>
            </w:r>
          </w:p>
        </w:tc>
        <w:tc>
          <w:tcPr>
            <w:tcW w:w="2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93"/>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Proposed Nasdaq trading symbol</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5"/>
        </w:trPr>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number of shares of common stock to be outstanding after this offering is based on an aggregate of</w:t>
            </w:r>
          </w:p>
        </w:tc>
        <w:tc>
          <w:tcPr>
            <w:tcW w:w="2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outstanding as of</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2024 (including</w:t>
            </w:r>
          </w:p>
        </w:tc>
      </w:tr>
      <w:tr>
        <w:trPr>
          <w:trHeight w:val="196"/>
        </w:trPr>
        <w:tc>
          <w:tcPr>
            <w:tcW w:w="110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shares of our common stock to be issued upon the conversion of convertible promissory notes immediately prior to the completion of this offering (based upon</w:t>
            </w: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the assumed initial public offering price of $</w:t>
            </w:r>
          </w:p>
        </w:tc>
        <w:tc>
          <w:tcPr>
            <w:tcW w:w="320" w:type="dxa"/>
            <w:vAlign w:val="bottom"/>
          </w:tcPr>
          <w:p>
            <w:pPr>
              <w:spacing w:after="0"/>
              <w:rPr>
                <w:sz w:val="17"/>
                <w:szCs w:val="17"/>
                <w:color w:val="auto"/>
              </w:rPr>
            </w:pPr>
          </w:p>
        </w:tc>
        <w:tc>
          <w:tcPr>
            <w:tcW w:w="7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per share, which is the midpoint of the estimated offering price range set forth on the cover page of this</w:t>
            </w:r>
          </w:p>
        </w:tc>
      </w:tr>
      <w:tr>
        <w:trPr>
          <w:trHeight w:val="214"/>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prospectus)) on a pro forma basis, which includes</w:t>
            </w:r>
          </w:p>
        </w:tc>
        <w:tc>
          <w:tcPr>
            <w:tcW w:w="3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to be sold by us in the offering, but excludes:</w:t>
            </w:r>
          </w:p>
        </w:tc>
        <w:tc>
          <w:tcPr>
            <w:tcW w:w="214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417830</wp:posOffset>
            </wp:positionV>
            <wp:extent cx="7141845" cy="7219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845" cy="7219950"/>
                    </a:xfrm>
                    <a:prstGeom prst="rect">
                      <a:avLst/>
                    </a:prstGeom>
                    <a:noFill/>
                  </pic:spPr>
                </pic:pic>
              </a:graphicData>
            </a:graphic>
          </wp:anchor>
        </w:drawing>
      </w:r>
    </w:p>
    <w:p>
      <w:pPr>
        <w:ind w:left="1460" w:hanging="880"/>
        <w:spacing w:after="0"/>
        <w:tabs>
          <w:tab w:leader="none" w:pos="1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issuable upon the exercise of stock options outstanding that were subject to options originally granted under the Serve’s</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200" w:type="dxa"/>
            <w:vAlign w:val="bottom"/>
          </w:tcPr>
          <w:p>
            <w:pPr>
              <w:spacing w:after="0"/>
              <w:rPr>
                <w:sz w:val="18"/>
                <w:szCs w:val="18"/>
                <w:color w:val="auto"/>
              </w:rPr>
            </w:pPr>
          </w:p>
        </w:tc>
        <w:tc>
          <w:tcPr>
            <w:tcW w:w="446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2021 Stock Plan, with a weighted-average exercise price of $</w:t>
            </w:r>
          </w:p>
        </w:tc>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 share;</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58"/>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outstanding Bridge Warrants to purchase an aggregate of</w:t>
            </w:r>
          </w:p>
        </w:tc>
        <w:tc>
          <w:tcPr>
            <w:tcW w:w="560" w:type="dxa"/>
            <w:vAlign w:val="bottom"/>
          </w:tcPr>
          <w:p>
            <w:pPr>
              <w:spacing w:after="0"/>
              <w:rPr>
                <w:sz w:val="24"/>
                <w:szCs w:val="24"/>
                <w:color w:val="auto"/>
              </w:rPr>
            </w:pPr>
          </w:p>
        </w:tc>
        <w:tc>
          <w:tcPr>
            <w:tcW w:w="46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per share as of</w:t>
            </w:r>
          </w:p>
        </w:tc>
      </w:tr>
      <w:tr>
        <w:trPr>
          <w:trHeight w:val="214"/>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46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outstanding Bridge Broker Warrants to purchase an aggregate of</w:t>
            </w:r>
          </w:p>
        </w:tc>
        <w:tc>
          <w:tcPr>
            <w:tcW w:w="466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per share as of</w:t>
            </w:r>
          </w:p>
        </w:tc>
      </w:tr>
      <w:tr>
        <w:trPr>
          <w:trHeight w:val="214"/>
        </w:trPr>
        <w:tc>
          <w:tcPr>
            <w:tcW w:w="200" w:type="dxa"/>
            <w:vAlign w:val="bottom"/>
          </w:tcPr>
          <w:p>
            <w:pPr>
              <w:spacing w:after="0"/>
              <w:rPr>
                <w:sz w:val="18"/>
                <w:szCs w:val="18"/>
                <w:color w:val="auto"/>
              </w:rPr>
            </w:pPr>
          </w:p>
        </w:tc>
        <w:tc>
          <w:tcPr>
            <w:tcW w:w="64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88"/>
              </w:rPr>
              <w: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2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outstanding Placement Agent A Warrants (as defined below) to purchase an aggregate of</w:t>
            </w:r>
          </w:p>
        </w:tc>
        <w:tc>
          <w:tcPr>
            <w:tcW w:w="4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shares of our common stock with an exercise price of</w:t>
            </w:r>
          </w:p>
        </w:tc>
      </w:tr>
      <w:tr>
        <w:trPr>
          <w:trHeight w:val="214"/>
        </w:trPr>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98"/>
              <w:spacing w:after="0"/>
              <w:rPr>
                <w:sz w:val="20"/>
                <w:szCs w:val="20"/>
                <w:color w:val="auto"/>
              </w:rPr>
            </w:pPr>
            <w:r>
              <w:rPr>
                <w:rFonts w:ascii="Times New Roman" w:cs="Times New Roman" w:eastAsia="Times New Roman" w:hAnsi="Times New Roman"/>
                <w:sz w:val="16"/>
                <w:szCs w:val="16"/>
                <w:color w:val="auto"/>
              </w:rPr>
              <w:t>per share as of</w:t>
            </w:r>
          </w:p>
        </w:tc>
        <w:tc>
          <w:tcPr>
            <w:tcW w:w="2000" w:type="dxa"/>
            <w:vAlign w:val="bottom"/>
          </w:tcPr>
          <w:p>
            <w:pPr>
              <w:jc w:val="right"/>
              <w:ind w:right="161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2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outstanding Placement Agent B Warrants (as defined below) to purchase an aggregate of</w:t>
            </w:r>
          </w:p>
        </w:tc>
        <w:tc>
          <w:tcPr>
            <w:tcW w:w="4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shares of our common stock with an exercise price of</w:t>
            </w:r>
          </w:p>
        </w:tc>
      </w:tr>
      <w:tr>
        <w:trPr>
          <w:trHeight w:val="214"/>
        </w:trPr>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58"/>
              <w:spacing w:after="0"/>
              <w:rPr>
                <w:sz w:val="20"/>
                <w:szCs w:val="20"/>
                <w:color w:val="auto"/>
              </w:rPr>
            </w:pPr>
            <w:r>
              <w:rPr>
                <w:rFonts w:ascii="Times New Roman" w:cs="Times New Roman" w:eastAsia="Times New Roman" w:hAnsi="Times New Roman"/>
                <w:sz w:val="16"/>
                <w:szCs w:val="16"/>
                <w:color w:val="auto"/>
              </w:rPr>
              <w:t>per share as of</w:t>
            </w:r>
          </w:p>
        </w:tc>
        <w:tc>
          <w:tcPr>
            <w:tcW w:w="2000" w:type="dxa"/>
            <w:vAlign w:val="bottom"/>
          </w:tcPr>
          <w:p>
            <w:pPr>
              <w:jc w:val="right"/>
              <w:ind w:right="133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outstanding warrants to purchase an aggregate of</w:t>
            </w:r>
          </w:p>
        </w:tc>
        <w:tc>
          <w:tcPr>
            <w:tcW w:w="3780" w:type="dxa"/>
            <w:vAlign w:val="bottom"/>
            <w:gridSpan w:val="3"/>
          </w:tcPr>
          <w:p>
            <w:pPr>
              <w:jc w:val="right"/>
              <w:ind w:right="158"/>
              <w:spacing w:after="0"/>
              <w:rPr>
                <w:sz w:val="20"/>
                <w:szCs w:val="20"/>
                <w:color w:val="auto"/>
              </w:rPr>
            </w:pPr>
            <w:r>
              <w:rPr>
                <w:rFonts w:ascii="Times New Roman" w:cs="Times New Roman" w:eastAsia="Times New Roman" w:hAnsi="Times New Roman"/>
                <w:sz w:val="16"/>
                <w:szCs w:val="16"/>
                <w:color w:val="auto"/>
              </w:rPr>
              <w:t>shares of our common stock at the exercise price of $</w:t>
            </w:r>
          </w:p>
        </w:tc>
        <w:tc>
          <w:tcPr>
            <w:tcW w:w="1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per share as of</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assumed by</w:t>
            </w:r>
          </w:p>
        </w:tc>
      </w:tr>
      <w:tr>
        <w:trPr>
          <w:trHeight w:val="214"/>
        </w:trPr>
        <w:tc>
          <w:tcPr>
            <w:tcW w:w="200" w:type="dxa"/>
            <w:vAlign w:val="bottom"/>
          </w:tcPr>
          <w:p>
            <w:pPr>
              <w:spacing w:after="0"/>
              <w:rPr>
                <w:sz w:val="18"/>
                <w:szCs w:val="18"/>
                <w:color w:val="auto"/>
              </w:rPr>
            </w:pPr>
          </w:p>
        </w:tc>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us in connection with the Merger;</w:t>
            </w: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outstanding warrant to purchase an aggregate of</w:t>
            </w:r>
          </w:p>
        </w:tc>
        <w:tc>
          <w:tcPr>
            <w:tcW w:w="3780" w:type="dxa"/>
            <w:vAlign w:val="bottom"/>
            <w:gridSpan w:val="3"/>
          </w:tcPr>
          <w:p>
            <w:pPr>
              <w:jc w:val="right"/>
              <w:ind w:right="158"/>
              <w:spacing w:after="0"/>
              <w:rPr>
                <w:sz w:val="20"/>
                <w:szCs w:val="20"/>
                <w:color w:val="auto"/>
              </w:rPr>
            </w:pPr>
            <w:r>
              <w:rPr>
                <w:rFonts w:ascii="Times New Roman" w:cs="Times New Roman" w:eastAsia="Times New Roman" w:hAnsi="Times New Roman"/>
                <w:sz w:val="16"/>
                <w:szCs w:val="16"/>
                <w:color w:val="auto"/>
              </w:rPr>
              <w:t>shares of our common stock at the exercise price of $</w:t>
            </w:r>
          </w:p>
        </w:tc>
        <w:tc>
          <w:tcPr>
            <w:tcW w:w="1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 share as of</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issued to</w:t>
            </w:r>
          </w:p>
        </w:tc>
      </w:tr>
      <w:tr>
        <w:trPr>
          <w:trHeight w:val="214"/>
        </w:trPr>
        <w:tc>
          <w:tcPr>
            <w:tcW w:w="2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Magna;</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2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Convertible Promissory Notes Offering Warrants to purchase an aggregate of shares</w:t>
            </w:r>
          </w:p>
        </w:tc>
        <w:tc>
          <w:tcPr>
            <w:tcW w:w="34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of our common stock at the exercise price of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w:t>
            </w:r>
          </w:p>
        </w:tc>
      </w:tr>
      <w:tr>
        <w:trPr>
          <w:trHeight w:val="214"/>
        </w:trPr>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 as of</w:t>
            </w:r>
          </w:p>
        </w:tc>
        <w:tc>
          <w:tcPr>
            <w:tcW w:w="106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rPr>
              <w:t>; and</w:t>
            </w: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9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Underwriter’s Warrants to purchase an aggregate of</w:t>
            </w:r>
          </w:p>
        </w:tc>
        <w:tc>
          <w:tcPr>
            <w:tcW w:w="52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shares of our common stock to be issued in connection with this offering.</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as otherwise indicated, all information in this prospectus assumes:</w:t>
      </w:r>
    </w:p>
    <w:p>
      <w:pPr>
        <w:spacing w:after="0" w:line="209" w:lineRule="exact"/>
        <w:rPr>
          <w:sz w:val="20"/>
          <w:szCs w:val="20"/>
          <w:color w:val="auto"/>
        </w:rPr>
      </w:pPr>
    </w:p>
    <w:p>
      <w:pPr>
        <w:ind w:left="880" w:hanging="300"/>
        <w:spacing w:after="0"/>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automatic conversion of our convertible promissory notes into shares of common stock immediately prior to the completion of this offering;</w:t>
      </w:r>
    </w:p>
    <w:p>
      <w:pPr>
        <w:spacing w:after="0" w:line="208" w:lineRule="exact"/>
        <w:rPr>
          <w:rFonts w:ascii="Times New Roman" w:cs="Times New Roman" w:eastAsia="Times New Roman" w:hAnsi="Times New Roman"/>
          <w:sz w:val="16"/>
          <w:szCs w:val="16"/>
          <w:color w:val="auto"/>
        </w:rPr>
      </w:pPr>
    </w:p>
    <w:p>
      <w:pPr>
        <w:ind w:left="880" w:right="20" w:hanging="300"/>
        <w:spacing w:after="0" w:line="294" w:lineRule="auto"/>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or cancellation of other outstanding options and warrants or settlement of outstanding restricted stock awards subsequent to December 31, 2023; and</w:t>
      </w:r>
    </w:p>
    <w:p>
      <w:pPr>
        <w:spacing w:after="0" w:line="138" w:lineRule="exact"/>
        <w:rPr>
          <w:rFonts w:ascii="Times New Roman" w:cs="Times New Roman" w:eastAsia="Times New Roman" w:hAnsi="Times New Roman"/>
          <w:sz w:val="16"/>
          <w:szCs w:val="16"/>
          <w:color w:val="auto"/>
        </w:rPr>
      </w:pPr>
    </w:p>
    <w:p>
      <w:pPr>
        <w:ind w:left="880" w:hanging="300"/>
        <w:spacing w:after="0"/>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502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020"/>
          </w:cols>
          <w:pgMar w:left="440" w:top="818" w:right="4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203200</wp:posOffset>
            </wp:positionH>
            <wp:positionV relativeFrom="page">
              <wp:posOffset>542290</wp:posOffset>
            </wp:positionV>
            <wp:extent cx="7141845" cy="4906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845" cy="4906010"/>
                    </a:xfrm>
                    <a:prstGeom prst="rect">
                      <a:avLst/>
                    </a:prstGeom>
                    <a:noFill/>
                  </pic:spPr>
                </pic:pic>
              </a:graphicData>
            </a:graphic>
          </wp:anchor>
        </w:drawing>
        <w:t>SUMMARY FINANCIAL DATA</w:t>
      </w:r>
    </w:p>
    <w:p>
      <w:pPr>
        <w:spacing w:after="0" w:line="21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6"/>
          <w:szCs w:val="16"/>
          <w:i w:val="1"/>
          <w:iCs w:val="1"/>
          <w:color w:val="auto"/>
        </w:rPr>
        <w:t>The following tables set forth summary financial data as of, and for the year ended, December 31, 2022 and should be read together with our consolidated financial statements and the related notes, as well as the sections of this prospectus entitled “Risk Factors” and “Management’s Discussion and Analysis of Financial Condition and Results of Operations” appearing elsewhere in this prospectus. The summary financial data in this section is not intended to replace our financial statements and related notes. The summary financial data as of, and for the year ended, December 31, 2022 are derived from our audited financial statements included elsewhere in this prospectus. See Unaudited Pro Forma Combined Financial Statements reflecting the effect of the Merger on page F-27.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96"/>
        </w:trPr>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1"/>
        </w:trPr>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5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107,819</w:t>
            </w:r>
          </w:p>
        </w:tc>
        <w:tc>
          <w:tcPr>
            <w:tcW w:w="120" w:type="dxa"/>
            <w:vAlign w:val="bottom"/>
          </w:tcPr>
          <w:p>
            <w:pPr>
              <w:spacing w:after="0"/>
              <w:rPr>
                <w:sz w:val="17"/>
                <w:szCs w:val="17"/>
                <w:color w:val="auto"/>
              </w:rPr>
            </w:pPr>
          </w:p>
        </w:tc>
      </w:tr>
      <w:tr>
        <w:trPr>
          <w:trHeight w:val="213"/>
        </w:trPr>
        <w:tc>
          <w:tcPr>
            <w:tcW w:w="10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1,148,426</w:t>
            </w:r>
          </w:p>
        </w:tc>
        <w:tc>
          <w:tcPr>
            <w:tcW w:w="120" w:type="dxa"/>
            <w:vAlign w:val="bottom"/>
          </w:tcPr>
          <w:p>
            <w:pPr>
              <w:spacing w:after="0"/>
              <w:rPr>
                <w:sz w:val="18"/>
                <w:szCs w:val="18"/>
                <w:color w:val="auto"/>
              </w:rPr>
            </w:pPr>
          </w:p>
        </w:tc>
      </w:tr>
      <w:tr>
        <w:trPr>
          <w:trHeight w:val="196"/>
        </w:trPr>
        <w:tc>
          <w:tcPr>
            <w:tcW w:w="10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loss</w:t>
            </w:r>
          </w:p>
        </w:tc>
        <w:tc>
          <w:tcPr>
            <w:tcW w:w="4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3,786,124</w:t>
            </w: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Operations</w:t>
            </w:r>
          </w:p>
        </w:tc>
        <w:tc>
          <w:tcPr>
            <w:tcW w:w="4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2,035,063</w:t>
            </w: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13,565,765</w:t>
            </w:r>
          </w:p>
        </w:tc>
        <w:tc>
          <w:tcPr>
            <w:tcW w:w="120" w:type="dxa"/>
            <w:vAlign w:val="bottom"/>
          </w:tcPr>
          <w:p>
            <w:pPr>
              <w:spacing w:after="0"/>
              <w:rPr>
                <w:sz w:val="17"/>
                <w:szCs w:val="17"/>
                <w:color w:val="auto"/>
              </w:rPr>
            </w:pPr>
          </w:p>
        </w:tc>
      </w:tr>
      <w:tr>
        <w:trPr>
          <w:trHeight w:val="229"/>
        </w:trPr>
        <w:tc>
          <w:tcPr>
            <w:tcW w:w="10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 and marketing</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525,494</w:t>
            </w:r>
          </w:p>
        </w:tc>
        <w:tc>
          <w:tcPr>
            <w:tcW w:w="120" w:type="dxa"/>
            <w:vAlign w:val="bottom"/>
          </w:tcPr>
          <w:p>
            <w:pPr>
              <w:spacing w:after="0"/>
              <w:rPr>
                <w:sz w:val="19"/>
                <w:szCs w:val="19"/>
                <w:color w:val="auto"/>
              </w:rPr>
            </w:pPr>
          </w:p>
        </w:tc>
      </w:tr>
      <w:tr>
        <w:trPr>
          <w:trHeight w:val="181"/>
        </w:trPr>
        <w:tc>
          <w:tcPr>
            <w:tcW w:w="100" w:type="dxa"/>
            <w:vAlign w:val="bottom"/>
          </w:tcPr>
          <w:p>
            <w:pPr>
              <w:spacing w:after="0"/>
              <w:rPr>
                <w:sz w:val="15"/>
                <w:szCs w:val="15"/>
                <w:color w:val="auto"/>
              </w:rPr>
            </w:pPr>
          </w:p>
        </w:tc>
        <w:tc>
          <w:tcPr>
            <w:tcW w:w="4860" w:type="dxa"/>
            <w:vAlign w:val="bottom"/>
            <w:tcBorders>
              <w:top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49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19,912,446</w:t>
            </w:r>
          </w:p>
        </w:tc>
        <w:tc>
          <w:tcPr>
            <w:tcW w:w="100" w:type="dxa"/>
            <w:vAlign w:val="bottom"/>
            <w:tcBorders>
              <w:top w:val="single" w:sz="8" w:color="CCEEFF"/>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10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(20,953,053)</w:t>
            </w: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 net</w:t>
            </w:r>
          </w:p>
        </w:tc>
        <w:tc>
          <w:tcPr>
            <w:tcW w:w="4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(636,330)</w:t>
            </w:r>
          </w:p>
        </w:tc>
        <w:tc>
          <w:tcPr>
            <w:tcW w:w="120" w:type="dxa"/>
            <w:vAlign w:val="bottom"/>
          </w:tcPr>
          <w:p>
            <w:pPr>
              <w:spacing w:after="0"/>
              <w:rPr>
                <w:sz w:val="17"/>
                <w:szCs w:val="17"/>
                <w:color w:val="auto"/>
              </w:rPr>
            </w:pPr>
          </w:p>
        </w:tc>
      </w:tr>
      <w:tr>
        <w:trPr>
          <w:trHeight w:val="213"/>
        </w:trPr>
        <w:tc>
          <w:tcPr>
            <w:tcW w:w="10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simple agreements for future equity</w:t>
            </w:r>
          </w:p>
        </w:tc>
        <w:tc>
          <w:tcPr>
            <w:tcW w:w="49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r>
      <w:tr>
        <w:trPr>
          <w:trHeight w:val="181"/>
        </w:trPr>
        <w:tc>
          <w:tcPr>
            <w:tcW w:w="100" w:type="dxa"/>
            <w:vAlign w:val="bottom"/>
          </w:tcPr>
          <w:p>
            <w:pPr>
              <w:spacing w:after="0"/>
              <w:rPr>
                <w:sz w:val="15"/>
                <w:szCs w:val="15"/>
                <w:color w:val="auto"/>
              </w:rPr>
            </w:pPr>
          </w:p>
        </w:tc>
        <w:tc>
          <w:tcPr>
            <w:tcW w:w="4860" w:type="dxa"/>
            <w:vAlign w:val="bottom"/>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other income (expense), net</w:t>
            </w:r>
          </w:p>
        </w:tc>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(902,074)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10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10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r>
      <w:tr>
        <w:trPr>
          <w:trHeight w:val="201"/>
        </w:trPr>
        <w:tc>
          <w:tcPr>
            <w:tcW w:w="100" w:type="dxa"/>
            <w:vAlign w:val="bottom"/>
          </w:tcPr>
          <w:p>
            <w:pPr>
              <w:spacing w:after="0"/>
              <w:rPr>
                <w:sz w:val="17"/>
                <w:szCs w:val="17"/>
                <w:color w:val="auto"/>
              </w:rPr>
            </w:pPr>
          </w:p>
        </w:tc>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9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(21,855,127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10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diluted</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6,896,769</w:t>
            </w:r>
          </w:p>
        </w:tc>
        <w:tc>
          <w:tcPr>
            <w:tcW w:w="120" w:type="dxa"/>
            <w:vAlign w:val="bottom"/>
          </w:tcPr>
          <w:p>
            <w:pPr>
              <w:spacing w:after="0"/>
              <w:rPr>
                <w:sz w:val="19"/>
                <w:szCs w:val="19"/>
                <w:color w:val="auto"/>
              </w:rPr>
            </w:pPr>
          </w:p>
        </w:tc>
      </w:tr>
      <w:tr>
        <w:trPr>
          <w:trHeight w:val="185"/>
        </w:trPr>
        <w:tc>
          <w:tcPr>
            <w:tcW w:w="100" w:type="dxa"/>
            <w:vAlign w:val="bottom"/>
          </w:tcPr>
          <w:p>
            <w:pPr>
              <w:spacing w:after="0"/>
              <w:rPr>
                <w:sz w:val="16"/>
                <w:szCs w:val="16"/>
                <w:color w:val="auto"/>
              </w:rPr>
            </w:pPr>
          </w:p>
        </w:tc>
        <w:tc>
          <w:tcPr>
            <w:tcW w:w="4860" w:type="dxa"/>
            <w:vAlign w:val="bottom"/>
            <w:tcBorders>
              <w:top w:val="single" w:sz="8" w:color="CCEEFF"/>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Net loss per common share - basic and diluted</w:t>
            </w:r>
          </w:p>
        </w:tc>
        <w:tc>
          <w:tcPr>
            <w:tcW w:w="496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6"/>
                <w:szCs w:val="16"/>
                <w:color w:val="auto"/>
              </w:rPr>
            </w:pPr>
          </w:p>
        </w:tc>
      </w:tr>
      <w:tr>
        <w:trPr>
          <w:trHeight w:val="174"/>
        </w:trPr>
        <w:tc>
          <w:tcPr>
            <w:tcW w:w="10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596"/>
        </w:trPr>
        <w:tc>
          <w:tcPr>
            <w:tcW w:w="1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right"/>
              <w:ind w:right="4138"/>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8"/>
        </w:trPr>
        <w:tc>
          <w:tcPr>
            <w:tcW w:w="100" w:type="dxa"/>
            <w:vAlign w:val="bottom"/>
            <w:tcBorders>
              <w:top w:val="single" w:sz="8" w:color="auto"/>
              <w:left w:val="single" w:sz="8" w:color="auto"/>
            </w:tcBorders>
          </w:tcPr>
          <w:p>
            <w:pPr>
              <w:spacing w:after="0"/>
              <w:rPr>
                <w:sz w:val="24"/>
                <w:szCs w:val="24"/>
                <w:color w:val="auto"/>
              </w:rPr>
            </w:pPr>
          </w:p>
        </w:tc>
        <w:tc>
          <w:tcPr>
            <w:tcW w:w="9820" w:type="dxa"/>
            <w:vAlign w:val="bottom"/>
            <w:tcBorders>
              <w:top w:val="single" w:sz="8" w:color="auto"/>
            </w:tcBorders>
          </w:tcPr>
          <w:p>
            <w:pPr>
              <w:spacing w:after="0"/>
              <w:rPr>
                <w:sz w:val="24"/>
                <w:szCs w:val="24"/>
                <w:color w:val="auto"/>
              </w:rPr>
            </w:pPr>
          </w:p>
        </w:tc>
        <w:tc>
          <w:tcPr>
            <w:tcW w:w="132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1"/>
        </w:trPr>
        <w:tc>
          <w:tcPr>
            <w:tcW w:w="100" w:type="dxa"/>
            <w:vAlign w:val="bottom"/>
            <w:tcBorders>
              <w:left w:val="single" w:sz="8" w:color="auto"/>
            </w:tcBorders>
          </w:tcPr>
          <w:p>
            <w:pPr>
              <w:spacing w:after="0"/>
              <w:rPr>
                <w:sz w:val="19"/>
                <w:szCs w:val="19"/>
                <w:color w:val="auto"/>
              </w:rPr>
            </w:pPr>
          </w:p>
        </w:tc>
        <w:tc>
          <w:tcPr>
            <w:tcW w:w="9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r>
      <w:tr>
        <w:trPr>
          <w:trHeight w:val="180"/>
        </w:trPr>
        <w:tc>
          <w:tcPr>
            <w:tcW w:w="100" w:type="dxa"/>
            <w:vAlign w:val="bottom"/>
            <w:tcBorders>
              <w:left w:val="single" w:sz="8" w:color="auto"/>
            </w:tcBorders>
          </w:tcPr>
          <w:p>
            <w:pPr>
              <w:spacing w:after="0"/>
              <w:rPr>
                <w:sz w:val="15"/>
                <w:szCs w:val="15"/>
                <w:color w:val="auto"/>
              </w:rPr>
            </w:pPr>
          </w:p>
        </w:tc>
        <w:tc>
          <w:tcPr>
            <w:tcW w:w="9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13"/>
        </w:trPr>
        <w:tc>
          <w:tcPr>
            <w:tcW w:w="100" w:type="dxa"/>
            <w:vAlign w:val="bottom"/>
            <w:tcBorders>
              <w:left w:val="single" w:sz="8" w:color="auto"/>
            </w:tcBorders>
          </w:tcPr>
          <w:p>
            <w:pPr>
              <w:spacing w:after="0"/>
              <w:rPr>
                <w:sz w:val="18"/>
                <w:szCs w:val="18"/>
                <w:color w:val="auto"/>
              </w:rPr>
            </w:pPr>
          </w:p>
        </w:tc>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2,715,719</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23,697</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618,262</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81,339</w:t>
            </w:r>
          </w:p>
        </w:tc>
        <w:tc>
          <w:tcPr>
            <w:tcW w:w="120" w:type="dxa"/>
            <w:vAlign w:val="bottom"/>
            <w:tcBorders>
              <w:right w:val="single" w:sz="8" w:color="auto"/>
            </w:tcBorders>
          </w:tcPr>
          <w:p>
            <w:pPr>
              <w:spacing w:after="0"/>
              <w:rPr>
                <w:sz w:val="17"/>
                <w:szCs w:val="17"/>
                <w:color w:val="auto"/>
              </w:rPr>
            </w:pPr>
          </w:p>
        </w:tc>
      </w:tr>
      <w:tr>
        <w:trPr>
          <w:trHeight w:val="229"/>
        </w:trPr>
        <w:tc>
          <w:tcPr>
            <w:tcW w:w="100" w:type="dxa"/>
            <w:vAlign w:val="bottom"/>
            <w:tcBorders>
              <w:left w:val="single" w:sz="8" w:color="auto"/>
            </w:tcBorders>
          </w:tcPr>
          <w:p>
            <w:pPr>
              <w:spacing w:after="0"/>
              <w:rPr>
                <w:sz w:val="19"/>
                <w:szCs w:val="19"/>
                <w:color w:val="auto"/>
              </w:rPr>
            </w:pPr>
          </w:p>
        </w:tc>
        <w:tc>
          <w:tcPr>
            <w:tcW w:w="9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offering costs</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9"/>
                <w:szCs w:val="19"/>
                <w:color w:val="auto"/>
              </w:rPr>
            </w:pPr>
          </w:p>
        </w:tc>
      </w:tr>
      <w:tr>
        <w:trPr>
          <w:trHeight w:val="181"/>
        </w:trPr>
        <w:tc>
          <w:tcPr>
            <w:tcW w:w="100" w:type="dxa"/>
            <w:vAlign w:val="bottom"/>
            <w:tcBorders>
              <w:left w:val="single" w:sz="8" w:color="auto"/>
            </w:tcBorders>
          </w:tcPr>
          <w:p>
            <w:pPr>
              <w:spacing w:after="0"/>
              <w:rPr>
                <w:sz w:val="15"/>
                <w:szCs w:val="15"/>
                <w:color w:val="auto"/>
              </w:rPr>
            </w:pPr>
          </w:p>
        </w:tc>
        <w:tc>
          <w:tcPr>
            <w:tcW w:w="9820" w:type="dxa"/>
            <w:vAlign w:val="bottom"/>
            <w:tcBorders>
              <w:top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3,439,017</w:t>
            </w:r>
          </w:p>
        </w:tc>
        <w:tc>
          <w:tcPr>
            <w:tcW w:w="100" w:type="dxa"/>
            <w:vAlign w:val="bottom"/>
            <w:tcBorders>
              <w:top w:val="single" w:sz="8" w:color="CCEEFF"/>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3,376,427</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1,215,968</w:t>
            </w:r>
          </w:p>
        </w:tc>
        <w:tc>
          <w:tcPr>
            <w:tcW w:w="120" w:type="dxa"/>
            <w:vAlign w:val="bottom"/>
            <w:tcBorders>
              <w:right w:val="single" w:sz="8" w:color="auto"/>
            </w:tcBorders>
          </w:tcPr>
          <w:p>
            <w:pPr>
              <w:spacing w:after="0"/>
              <w:rPr>
                <w:sz w:val="17"/>
                <w:szCs w:val="17"/>
                <w:color w:val="auto"/>
              </w:rPr>
            </w:pPr>
          </w:p>
        </w:tc>
      </w:tr>
      <w:tr>
        <w:trPr>
          <w:trHeight w:val="229"/>
        </w:trPr>
        <w:tc>
          <w:tcPr>
            <w:tcW w:w="100" w:type="dxa"/>
            <w:vAlign w:val="bottom"/>
            <w:tcBorders>
              <w:left w:val="single" w:sz="8" w:color="auto"/>
            </w:tcBorders>
          </w:tcPr>
          <w:p>
            <w:pPr>
              <w:spacing w:after="0"/>
              <w:rPr>
                <w:sz w:val="19"/>
                <w:szCs w:val="19"/>
                <w:color w:val="auto"/>
              </w:rPr>
            </w:pPr>
          </w:p>
        </w:tc>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512,659</w:t>
            </w:r>
          </w:p>
        </w:tc>
        <w:tc>
          <w:tcPr>
            <w:tcW w:w="120" w:type="dxa"/>
            <w:vAlign w:val="bottom"/>
            <w:tcBorders>
              <w:right w:val="single" w:sz="8" w:color="auto"/>
            </w:tcBorders>
          </w:tcPr>
          <w:p>
            <w:pPr>
              <w:spacing w:after="0"/>
              <w:rPr>
                <w:sz w:val="19"/>
                <w:szCs w:val="19"/>
                <w:color w:val="auto"/>
              </w:rPr>
            </w:pPr>
          </w:p>
        </w:tc>
      </w:tr>
      <w:tr>
        <w:trPr>
          <w:trHeight w:val="185"/>
        </w:trPr>
        <w:tc>
          <w:tcPr>
            <w:tcW w:w="100" w:type="dxa"/>
            <w:vAlign w:val="bottom"/>
            <w:tcBorders>
              <w:left w:val="single" w:sz="8" w:color="auto"/>
            </w:tcBorders>
          </w:tcPr>
          <w:p>
            <w:pPr>
              <w:spacing w:after="0"/>
              <w:rPr>
                <w:sz w:val="16"/>
                <w:szCs w:val="16"/>
                <w:color w:val="auto"/>
              </w:rPr>
            </w:pPr>
          </w:p>
        </w:tc>
        <w:tc>
          <w:tcPr>
            <w:tcW w:w="9820" w:type="dxa"/>
            <w:vAlign w:val="bottom"/>
            <w:tcBorders>
              <w:top w:val="single" w:sz="8" w:color="CCEEFF"/>
              <w:bottom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ind w:right="3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8,544,071</w:t>
            </w: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162,034</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37,434</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payable, current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 payable - related party, net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 of use liability, current portion</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483,186</w:t>
            </w:r>
          </w:p>
        </w:tc>
        <w:tc>
          <w:tcPr>
            <w:tcW w:w="120" w:type="dxa"/>
            <w:vAlign w:val="bottom"/>
            <w:tcBorders>
              <w:right w:val="single" w:sz="8" w:color="auto"/>
            </w:tcBorders>
          </w:tcPr>
          <w:p>
            <w:pPr>
              <w:spacing w:after="0"/>
              <w:rPr>
                <w:sz w:val="17"/>
                <w:szCs w:val="17"/>
                <w:color w:val="auto"/>
              </w:rPr>
            </w:pPr>
          </w:p>
        </w:tc>
      </w:tr>
      <w:tr>
        <w:trPr>
          <w:trHeight w:val="229"/>
        </w:trPr>
        <w:tc>
          <w:tcPr>
            <w:tcW w:w="100" w:type="dxa"/>
            <w:vAlign w:val="bottom"/>
            <w:tcBorders>
              <w:left w:val="single" w:sz="8" w:color="auto"/>
            </w:tcBorders>
          </w:tcPr>
          <w:p>
            <w:pPr>
              <w:spacing w:after="0"/>
              <w:rPr>
                <w:sz w:val="19"/>
                <w:szCs w:val="19"/>
                <w:color w:val="auto"/>
              </w:rPr>
            </w:pPr>
          </w:p>
        </w:tc>
        <w:tc>
          <w:tcPr>
            <w:tcW w:w="9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2,214,348</w:t>
            </w:r>
          </w:p>
        </w:tc>
        <w:tc>
          <w:tcPr>
            <w:tcW w:w="120" w:type="dxa"/>
            <w:vAlign w:val="bottom"/>
            <w:tcBorders>
              <w:right w:val="single" w:sz="8" w:color="auto"/>
            </w:tcBorders>
          </w:tcPr>
          <w:p>
            <w:pPr>
              <w:spacing w:after="0"/>
              <w:rPr>
                <w:sz w:val="19"/>
                <w:szCs w:val="19"/>
                <w:color w:val="auto"/>
              </w:rPr>
            </w:pPr>
          </w:p>
        </w:tc>
      </w:tr>
      <w:tr>
        <w:trPr>
          <w:trHeight w:val="181"/>
        </w:trPr>
        <w:tc>
          <w:tcPr>
            <w:tcW w:w="100" w:type="dxa"/>
            <w:vAlign w:val="bottom"/>
            <w:tcBorders>
              <w:left w:val="single" w:sz="8" w:color="auto"/>
            </w:tcBorders>
          </w:tcPr>
          <w:p>
            <w:pPr>
              <w:spacing w:after="0"/>
              <w:rPr>
                <w:sz w:val="15"/>
                <w:szCs w:val="15"/>
                <w:color w:val="auto"/>
              </w:rPr>
            </w:pPr>
          </w:p>
        </w:tc>
        <w:tc>
          <w:tcPr>
            <w:tcW w:w="9820" w:type="dxa"/>
            <w:vAlign w:val="bottom"/>
            <w:tcBorders>
              <w:top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3,897,002</w:t>
            </w:r>
          </w:p>
        </w:tc>
        <w:tc>
          <w:tcPr>
            <w:tcW w:w="100" w:type="dxa"/>
            <w:vAlign w:val="bottom"/>
            <w:tcBorders>
              <w:top w:val="single" w:sz="8" w:color="CCEEFF"/>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 payable, net of current portion</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1,214,600</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Simple agreements for future equity</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13,150,745</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award liability</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162,747</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liability</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708,143</w:t>
            </w:r>
          </w:p>
        </w:tc>
        <w:tc>
          <w:tcPr>
            <w:tcW w:w="120" w:type="dxa"/>
            <w:vAlign w:val="bottom"/>
            <w:tcBorders>
              <w:right w:val="single" w:sz="8" w:color="auto"/>
            </w:tcBorders>
          </w:tcPr>
          <w:p>
            <w:pPr>
              <w:spacing w:after="0"/>
              <w:rPr>
                <w:sz w:val="17"/>
                <w:szCs w:val="17"/>
                <w:color w:val="auto"/>
              </w:rPr>
            </w:pPr>
          </w:p>
        </w:tc>
      </w:tr>
      <w:tr>
        <w:trPr>
          <w:trHeight w:val="229"/>
        </w:trPr>
        <w:tc>
          <w:tcPr>
            <w:tcW w:w="100" w:type="dxa"/>
            <w:vAlign w:val="bottom"/>
            <w:tcBorders>
              <w:left w:val="single" w:sz="8" w:color="auto"/>
            </w:tcBorders>
          </w:tcPr>
          <w:p>
            <w:pPr>
              <w:spacing w:after="0"/>
              <w:rPr>
                <w:sz w:val="19"/>
                <w:szCs w:val="19"/>
                <w:color w:val="auto"/>
              </w:rPr>
            </w:pPr>
          </w:p>
        </w:tc>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1,862,980</w:t>
            </w:r>
          </w:p>
        </w:tc>
        <w:tc>
          <w:tcPr>
            <w:tcW w:w="120" w:type="dxa"/>
            <w:vAlign w:val="bottom"/>
            <w:tcBorders>
              <w:right w:val="single" w:sz="8" w:color="auto"/>
            </w:tcBorders>
          </w:tcPr>
          <w:p>
            <w:pPr>
              <w:spacing w:after="0"/>
              <w:rPr>
                <w:sz w:val="19"/>
                <w:szCs w:val="19"/>
                <w:color w:val="auto"/>
              </w:rPr>
            </w:pPr>
          </w:p>
        </w:tc>
      </w:tr>
      <w:tr>
        <w:trPr>
          <w:trHeight w:val="185"/>
        </w:trPr>
        <w:tc>
          <w:tcPr>
            <w:tcW w:w="100" w:type="dxa"/>
            <w:vAlign w:val="bottom"/>
            <w:tcBorders>
              <w:left w:val="single" w:sz="8" w:color="auto"/>
            </w:tcBorders>
          </w:tcPr>
          <w:p>
            <w:pPr>
              <w:spacing w:after="0"/>
              <w:rPr>
                <w:sz w:val="16"/>
                <w:szCs w:val="16"/>
                <w:color w:val="auto"/>
              </w:rPr>
            </w:pPr>
          </w:p>
        </w:tc>
        <w:tc>
          <w:tcPr>
            <w:tcW w:w="9820" w:type="dxa"/>
            <w:vAlign w:val="bottom"/>
            <w:tcBorders>
              <w:top w:val="single" w:sz="8" w:color="CCEEFF"/>
              <w:bottom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20,996,217</w:t>
            </w: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180"/>
        </w:trPr>
        <w:tc>
          <w:tcPr>
            <w:tcW w:w="100" w:type="dxa"/>
            <w:vAlign w:val="bottom"/>
            <w:tcBorders>
              <w:left w:val="single" w:sz="8" w:color="auto"/>
            </w:tcBorders>
          </w:tcPr>
          <w:p>
            <w:pPr>
              <w:spacing w:after="0"/>
              <w:rPr>
                <w:sz w:val="15"/>
                <w:szCs w:val="15"/>
                <w:color w:val="auto"/>
              </w:rPr>
            </w:pPr>
          </w:p>
        </w:tc>
        <w:tc>
          <w:tcPr>
            <w:tcW w:w="98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Series Seed preferred stock, $0.0001 par value; 4,008,079 shares authorized, 0, 3,091,672 and 2,834,033 shares issued and outstanding as of</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13"/>
        </w:trPr>
        <w:tc>
          <w:tcPr>
            <w:tcW w:w="100" w:type="dxa"/>
            <w:vAlign w:val="bottom"/>
            <w:tcBorders>
              <w:left w:val="single" w:sz="8" w:color="auto"/>
            </w:tcBorders>
          </w:tcPr>
          <w:p>
            <w:pPr>
              <w:spacing w:after="0"/>
              <w:rPr>
                <w:sz w:val="18"/>
                <w:szCs w:val="18"/>
                <w:color w:val="auto"/>
              </w:rPr>
            </w:pPr>
          </w:p>
        </w:tc>
        <w:tc>
          <w:tcPr>
            <w:tcW w:w="9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September 30, 2023, December 31, 2022 and December 31, 2021, respectively</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Borders>
              <w:right w:val="single" w:sz="8" w:color="auto"/>
            </w:tcBorders>
          </w:tcPr>
          <w:p>
            <w:pPr>
              <w:spacing w:after="0"/>
              <w:rPr>
                <w:sz w:val="18"/>
                <w:szCs w:val="18"/>
                <w:color w:val="auto"/>
              </w:rPr>
            </w:pPr>
          </w:p>
        </w:tc>
      </w:tr>
      <w:tr>
        <w:trPr>
          <w:trHeight w:val="180"/>
        </w:trPr>
        <w:tc>
          <w:tcPr>
            <w:tcW w:w="100" w:type="dxa"/>
            <w:vAlign w:val="bottom"/>
            <w:tcBorders>
              <w:left w:val="single" w:sz="8" w:color="auto"/>
            </w:tcBorders>
          </w:tcPr>
          <w:p>
            <w:pPr>
              <w:spacing w:after="0"/>
              <w:rPr>
                <w:sz w:val="15"/>
                <w:szCs w:val="15"/>
                <w:color w:val="auto"/>
              </w:rPr>
            </w:pPr>
          </w:p>
        </w:tc>
        <w:tc>
          <w:tcPr>
            <w:tcW w:w="9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Series Seed-1 preferred stock, $0.0001 par value; 3,037,227 shares authorized, 0, 2,440,411 and 2,440,411 shares issued and outstanding as of</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13"/>
        </w:trPr>
        <w:tc>
          <w:tcPr>
            <w:tcW w:w="100" w:type="dxa"/>
            <w:vAlign w:val="bottom"/>
            <w:tcBorders>
              <w:left w:val="single" w:sz="8" w:color="auto"/>
            </w:tcBorders>
          </w:tcPr>
          <w:p>
            <w:pPr>
              <w:spacing w:after="0"/>
              <w:rPr>
                <w:sz w:val="18"/>
                <w:szCs w:val="18"/>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September 30, 2023, December 31, 2022 and December 31, 2021</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right w:val="single" w:sz="8" w:color="auto"/>
            </w:tcBorders>
          </w:tcPr>
          <w:p>
            <w:pPr>
              <w:spacing w:after="0"/>
              <w:rPr>
                <w:sz w:val="18"/>
                <w:szCs w:val="18"/>
                <w:color w:val="auto"/>
              </w:rPr>
            </w:pPr>
          </w:p>
        </w:tc>
      </w:tr>
      <w:tr>
        <w:trPr>
          <w:trHeight w:val="180"/>
        </w:trPr>
        <w:tc>
          <w:tcPr>
            <w:tcW w:w="100" w:type="dxa"/>
            <w:vAlign w:val="bottom"/>
            <w:tcBorders>
              <w:left w:val="single" w:sz="8" w:color="auto"/>
            </w:tcBorders>
          </w:tcPr>
          <w:p>
            <w:pPr>
              <w:spacing w:after="0"/>
              <w:rPr>
                <w:sz w:val="15"/>
                <w:szCs w:val="15"/>
                <w:color w:val="auto"/>
              </w:rPr>
            </w:pPr>
          </w:p>
        </w:tc>
        <w:tc>
          <w:tcPr>
            <w:tcW w:w="98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Series Seed-2 preferred stock, $0.0001 par value; 2,599,497 shares authorized, 0, 2,088,696 and 2,088,696 shares issued and outstanding as of</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13"/>
        </w:trPr>
        <w:tc>
          <w:tcPr>
            <w:tcW w:w="100" w:type="dxa"/>
            <w:vAlign w:val="bottom"/>
            <w:tcBorders>
              <w:left w:val="single" w:sz="8" w:color="auto"/>
            </w:tcBorders>
          </w:tcPr>
          <w:p>
            <w:pPr>
              <w:spacing w:after="0"/>
              <w:rPr>
                <w:sz w:val="18"/>
                <w:szCs w:val="18"/>
                <w:color w:val="auto"/>
              </w:rPr>
            </w:pPr>
          </w:p>
        </w:tc>
        <w:tc>
          <w:tcPr>
            <w:tcW w:w="9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September 30, 2023, December 31, 2022 and December 31, 2021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right w:val="single" w:sz="8" w:color="auto"/>
            </w:tcBorders>
          </w:tcPr>
          <w:p>
            <w:pPr>
              <w:spacing w:after="0"/>
              <w:rPr>
                <w:sz w:val="18"/>
                <w:szCs w:val="18"/>
                <w:color w:val="auto"/>
              </w:rPr>
            </w:pPr>
          </w:p>
        </w:tc>
      </w:tr>
      <w:tr>
        <w:trPr>
          <w:trHeight w:val="180"/>
        </w:trPr>
        <w:tc>
          <w:tcPr>
            <w:tcW w:w="100" w:type="dxa"/>
            <w:vAlign w:val="bottom"/>
            <w:tcBorders>
              <w:left w:val="single" w:sz="8" w:color="auto"/>
            </w:tcBorders>
          </w:tcPr>
          <w:p>
            <w:pPr>
              <w:spacing w:after="0"/>
              <w:rPr>
                <w:sz w:val="15"/>
                <w:szCs w:val="15"/>
                <w:color w:val="auto"/>
              </w:rPr>
            </w:pPr>
          </w:p>
        </w:tc>
        <w:tc>
          <w:tcPr>
            <w:tcW w:w="9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Series Seed-3 preferred stock, $0.0001 par value; 445,347 shares authorized, 0, 357,836 and 357,836 shares issued and outstanding as of</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13"/>
        </w:trPr>
        <w:tc>
          <w:tcPr>
            <w:tcW w:w="100" w:type="dxa"/>
            <w:vAlign w:val="bottom"/>
            <w:tcBorders>
              <w:left w:val="single" w:sz="8" w:color="auto"/>
            </w:tcBorders>
          </w:tcPr>
          <w:p>
            <w:pPr>
              <w:spacing w:after="0"/>
              <w:rPr>
                <w:sz w:val="18"/>
                <w:szCs w:val="18"/>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September 30, 2023, December 31, 2022 and December 31, 2021</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right w:val="single" w:sz="8" w:color="auto"/>
            </w:tcBorders>
          </w:tcPr>
          <w:p>
            <w:pPr>
              <w:spacing w:after="0"/>
              <w:rPr>
                <w:sz w:val="18"/>
                <w:szCs w:val="18"/>
                <w:color w:val="auto"/>
              </w:rPr>
            </w:pPr>
          </w:p>
        </w:tc>
      </w:tr>
      <w:tr>
        <w:trPr>
          <w:trHeight w:val="180"/>
        </w:trPr>
        <w:tc>
          <w:tcPr>
            <w:tcW w:w="100" w:type="dxa"/>
            <w:vAlign w:val="bottom"/>
            <w:tcBorders>
              <w:left w:val="single" w:sz="8" w:color="auto"/>
            </w:tcBorders>
          </w:tcPr>
          <w:p>
            <w:pPr>
              <w:spacing w:after="0"/>
              <w:rPr>
                <w:sz w:val="15"/>
                <w:szCs w:val="15"/>
                <w:color w:val="auto"/>
              </w:rPr>
            </w:pPr>
          </w:p>
        </w:tc>
        <w:tc>
          <w:tcPr>
            <w:tcW w:w="98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Common stock, $0.0001 par value; 300,000,000 shares authorized, 24,689,283, 7,161,654 and 7,111,123 shares issued and 24,362,444, 6,826,352</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r>
      <w:tr>
        <w:trPr>
          <w:trHeight w:val="213"/>
        </w:trPr>
        <w:tc>
          <w:tcPr>
            <w:tcW w:w="100" w:type="dxa"/>
            <w:vAlign w:val="bottom"/>
            <w:tcBorders>
              <w:left w:val="single" w:sz="8" w:color="auto"/>
            </w:tcBorders>
          </w:tcPr>
          <w:p>
            <w:pPr>
              <w:spacing w:after="0"/>
              <w:rPr>
                <w:sz w:val="18"/>
                <w:szCs w:val="18"/>
                <w:color w:val="auto"/>
              </w:rPr>
            </w:pPr>
          </w:p>
        </w:tc>
        <w:tc>
          <w:tcPr>
            <w:tcW w:w="9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and 7,111,123 shares outstanding as of September 30, 2023, December 31, 2022 and December 31, 2021, respectively</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Borders>
              <w:right w:val="single" w:sz="8" w:color="auto"/>
            </w:tcBorders>
          </w:tcPr>
          <w:p>
            <w:pPr>
              <w:spacing w:after="0"/>
              <w:rPr>
                <w:sz w:val="18"/>
                <w:szCs w:val="18"/>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31,232,737</w:t>
            </w:r>
          </w:p>
        </w:tc>
        <w:tc>
          <w:tcPr>
            <w:tcW w:w="12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9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Subscription receivable</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(165,719)</w:t>
            </w:r>
          </w:p>
        </w:tc>
        <w:tc>
          <w:tcPr>
            <w:tcW w:w="120" w:type="dxa"/>
            <w:vAlign w:val="bottom"/>
            <w:tcBorders>
              <w:right w:val="single" w:sz="8" w:color="auto"/>
            </w:tcBorders>
          </w:tcPr>
          <w:p>
            <w:pPr>
              <w:spacing w:after="0"/>
              <w:rPr>
                <w:sz w:val="17"/>
                <w:szCs w:val="17"/>
                <w:color w:val="auto"/>
              </w:rPr>
            </w:pPr>
          </w:p>
        </w:tc>
      </w:tr>
      <w:tr>
        <w:trPr>
          <w:trHeight w:val="213"/>
        </w:trPr>
        <w:tc>
          <w:tcPr>
            <w:tcW w:w="100" w:type="dxa"/>
            <w:vAlign w:val="bottom"/>
            <w:tcBorders>
              <w:left w:val="single" w:sz="8" w:color="auto"/>
            </w:tcBorders>
          </w:tcPr>
          <w:p>
            <w:pPr>
              <w:spacing w:after="0"/>
              <w:rPr>
                <w:sz w:val="18"/>
                <w:szCs w:val="18"/>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(43,520,645)</w:t>
            </w:r>
          </w:p>
        </w:tc>
        <w:tc>
          <w:tcPr>
            <w:tcW w:w="12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98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(12,452,146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right w:val="single" w:sz="8" w:color="auto"/>
            </w:tcBorders>
          </w:tcPr>
          <w:p>
            <w:pPr>
              <w:spacing w:after="0"/>
              <w:rPr>
                <w:sz w:val="18"/>
                <w:szCs w:val="18"/>
                <w:color w:val="auto"/>
              </w:rPr>
            </w:pPr>
          </w:p>
        </w:tc>
      </w:tr>
      <w:tr>
        <w:trPr>
          <w:trHeight w:val="185"/>
        </w:trPr>
        <w:tc>
          <w:tcPr>
            <w:tcW w:w="100" w:type="dxa"/>
            <w:vAlign w:val="bottom"/>
            <w:tcBorders>
              <w:left w:val="single" w:sz="8" w:color="auto"/>
            </w:tcBorders>
          </w:tcPr>
          <w:p>
            <w:pPr>
              <w:spacing w:after="0"/>
              <w:rPr>
                <w:sz w:val="16"/>
                <w:szCs w:val="16"/>
                <w:color w:val="auto"/>
              </w:rPr>
            </w:pPr>
          </w:p>
        </w:tc>
        <w:tc>
          <w:tcPr>
            <w:tcW w:w="9820" w:type="dxa"/>
            <w:vAlign w:val="bottom"/>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200" w:type="dxa"/>
            <w:vAlign w:val="bottom"/>
            <w:tcBorders>
              <w:bottom w:val="single" w:sz="8" w:color="auto"/>
            </w:tcBorders>
          </w:tcPr>
          <w:p>
            <w:pPr>
              <w:jc w:val="right"/>
              <w:ind w:right="3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8,544,071</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r>
      <w:tr>
        <w:trPr>
          <w:trHeight w:val="174"/>
        </w:trPr>
        <w:tc>
          <w:tcPr>
            <w:tcW w:w="100" w:type="dxa"/>
            <w:vAlign w:val="bottom"/>
            <w:tcBorders>
              <w:left w:val="single" w:sz="8" w:color="auto"/>
              <w:bottom w:val="single" w:sz="8" w:color="auto"/>
            </w:tcBorders>
          </w:tcPr>
          <w:p>
            <w:pPr>
              <w:spacing w:after="0"/>
              <w:rPr>
                <w:sz w:val="15"/>
                <w:szCs w:val="15"/>
                <w:color w:val="auto"/>
              </w:rPr>
            </w:pPr>
          </w:p>
        </w:tc>
        <w:tc>
          <w:tcPr>
            <w:tcW w:w="9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r>
      <w:tr>
        <w:trPr>
          <w:trHeight w:val="596"/>
        </w:trPr>
        <w:tc>
          <w:tcPr>
            <w:tcW w:w="9920" w:type="dxa"/>
            <w:vAlign w:val="bottom"/>
            <w:tcBorders>
              <w:bottom w:val="single" w:sz="8" w:color="auto"/>
            </w:tcBorders>
            <w:gridSpan w:val="2"/>
          </w:tcPr>
          <w:p>
            <w:pPr>
              <w:jc w:val="right"/>
              <w:ind w:right="4138"/>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-6177915</wp:posOffset>
            </wp:positionV>
            <wp:extent cx="6997065" cy="124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-5928995</wp:posOffset>
            </wp:positionV>
            <wp:extent cx="6997065" cy="124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-5663565</wp:posOffset>
            </wp:positionV>
            <wp:extent cx="6997065" cy="132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065" cy="13271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-5406390</wp:posOffset>
            </wp:positionV>
            <wp:extent cx="6997065" cy="124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-5141595</wp:posOffset>
            </wp:positionV>
            <wp:extent cx="6997065" cy="140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065" cy="14033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-4869180</wp:posOffset>
            </wp:positionV>
            <wp:extent cx="6997065" cy="124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-4619625</wp:posOffset>
            </wp:positionV>
            <wp:extent cx="6997065" cy="124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-4370705</wp:posOffset>
            </wp:positionV>
            <wp:extent cx="6997065" cy="124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-4121150</wp:posOffset>
            </wp:positionV>
            <wp:extent cx="6997065" cy="124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-3856355</wp:posOffset>
            </wp:positionV>
            <wp:extent cx="6997065" cy="132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065" cy="13271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-3599180</wp:posOffset>
            </wp:positionV>
            <wp:extent cx="6997065" cy="124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-3349625</wp:posOffset>
            </wp:positionV>
            <wp:extent cx="6997065" cy="124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-3084830</wp:posOffset>
            </wp:positionV>
            <wp:extent cx="6997065" cy="140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065" cy="14033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-2812415</wp:posOffset>
            </wp:positionV>
            <wp:extent cx="6997065" cy="124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-2562860</wp:posOffset>
            </wp:positionV>
            <wp:extent cx="6997065" cy="124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-2188845</wp:posOffset>
            </wp:positionV>
            <wp:extent cx="6997065" cy="249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065" cy="2495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-1690370</wp:posOffset>
            </wp:positionV>
            <wp:extent cx="6997065" cy="2495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065" cy="2495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-1191260</wp:posOffset>
            </wp:positionV>
            <wp:extent cx="6997065" cy="124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065" cy="1244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-942340</wp:posOffset>
            </wp:positionV>
            <wp:extent cx="6997065" cy="140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065" cy="14033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-661670</wp:posOffset>
            </wp:positionV>
            <wp:extent cx="6997065" cy="140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065" cy="14033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6" w:name="page17"/>
    <w:bookmarkEnd w:id="16"/>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11" w:lineRule="exact"/>
        <w:rPr>
          <w:sz w:val="20"/>
          <w:szCs w:val="20"/>
          <w:color w:val="auto"/>
        </w:rPr>
      </w:pPr>
    </w:p>
    <w:p>
      <w:pPr>
        <w:jc w:val="both"/>
        <w:ind w:left="2" w:right="20"/>
        <w:spacing w:after="0" w:line="264" w:lineRule="auto"/>
        <w:rPr>
          <w:sz w:val="20"/>
          <w:szCs w:val="20"/>
          <w:color w:val="auto"/>
        </w:rPr>
      </w:pPr>
      <w:r>
        <w:rPr>
          <w:rFonts w:ascii="Times New Roman" w:cs="Times New Roman" w:eastAsia="Times New Roman" w:hAnsi="Times New Roman"/>
          <w:sz w:val="16"/>
          <w:szCs w:val="16"/>
          <w:i w:val="1"/>
          <w:iCs w:val="1"/>
          <w:color w:val="auto"/>
        </w:rPr>
        <w:t>Investing in our common stock involves a high degree of risk. In addition to the other information set forth in this prospectus, you should carefully consider the risk factors discussed below when considering an investment in our common stock and any risk factors that may be set forth in the applicable prospectus supplement, any related free writing prospectus, as well as the other information contained in this prospectus, any applicable prospectus supplement, and any related free writing prospectus. If any of the following risks occur, our business, financial condition, results of operations, and prospects could be materially and adversely affected. In that case, the market price of our common stock could decline, and you could lose some or all of your investment. Additional risks and uncertainties not presently known to us or that we currently deem immaterial also may impair our business operations.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209" w:lineRule="exact"/>
        <w:rPr>
          <w:sz w:val="20"/>
          <w:szCs w:val="20"/>
          <w:color w:val="auto"/>
        </w:rPr>
      </w:pPr>
    </w:p>
    <w:p>
      <w:pPr>
        <w:jc w:val="both"/>
        <w:ind w:left="2"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33" w:lineRule="exact"/>
        <w:rPr>
          <w:sz w:val="20"/>
          <w:szCs w:val="20"/>
          <w:color w:val="auto"/>
        </w:rPr>
      </w:pPr>
    </w:p>
    <w:p>
      <w:pPr>
        <w:jc w:val="both"/>
        <w:ind w:left="2" w:right="20"/>
        <w:spacing w:after="0" w:line="269" w:lineRule="auto"/>
        <w:rPr>
          <w:sz w:val="20"/>
          <w:szCs w:val="20"/>
          <w:color w:val="auto"/>
        </w:rPr>
      </w:pPr>
      <w:r>
        <w:rPr>
          <w:rFonts w:ascii="Times New Roman" w:cs="Times New Roman" w:eastAsia="Times New Roman" w:hAnsi="Times New Roman"/>
          <w:sz w:val="16"/>
          <w:szCs w:val="16"/>
          <w:color w:val="auto"/>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spacing w:after="0" w:line="157"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We have not been profitable to date, and we expect operating losses for the near future. During the nine months ended September 30, 2023, we generated $0.16 million in revenue and incurred a net loss of $17.75 million. During the years ended December 31, 2022 and 2021, we generated revenue of $0.11 million and $0, respectively, and we incurred net losses of approximately $21.86 million and $21.67 million, respectively.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We have a limited operating history, which may make it difficult to evaluate our business and prospects.</w:t>
      </w:r>
    </w:p>
    <w:p>
      <w:pPr>
        <w:spacing w:after="0" w:line="213"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6"/>
          <w:szCs w:val="16"/>
          <w:color w:val="auto"/>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Our auditor has issued a “going concern” opinion.</w:t>
      </w:r>
    </w:p>
    <w:p>
      <w:pPr>
        <w:spacing w:after="0" w:line="213"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6"/>
          <w:szCs w:val="16"/>
          <w:color w:val="auto"/>
        </w:rPr>
        <w:t>Our auditor has issued a “going concern” opinion on our financial statements, which means they are not sure that we will be able to succeed as a business without additional financing. For the year ended December 31, 2022, the date of our last audited financial statements, we generated $0.11 million in revenue, and we sustained a net loss of $21.86 million. We had an accumulated deficit of $43.52 million as of December 31, 2022. Our ability to continue as a going concern until we reach profitability is dependent upon our ability to generate cash from operating activities and to raise additional capital to fund our operations. While we were successful in raising a</w:t>
      </w:r>
    </w:p>
    <w:p>
      <w:pPr>
        <w:spacing w:after="0" w:line="2" w:lineRule="exact"/>
        <w:rPr>
          <w:sz w:val="20"/>
          <w:szCs w:val="20"/>
          <w:color w:val="auto"/>
        </w:rPr>
      </w:pPr>
    </w:p>
    <w:p>
      <w:pPr>
        <w:ind w:left="2"/>
        <w:spacing w:after="0"/>
        <w:tabs>
          <w:tab w:leader="none" w:pos="3161" w:val="left"/>
          <w:tab w:leader="none" w:pos="6801" w:val="left"/>
        </w:tabs>
        <w:rPr>
          <w:sz w:val="20"/>
          <w:szCs w:val="20"/>
          <w:color w:val="auto"/>
        </w:rPr>
      </w:pPr>
      <w:r>
        <w:rPr>
          <w:rFonts w:ascii="Times New Roman" w:cs="Times New Roman" w:eastAsia="Times New Roman" w:hAnsi="Times New Roman"/>
          <w:sz w:val="16"/>
          <w:szCs w:val="16"/>
          <w:color w:val="auto"/>
        </w:rPr>
        <w:t>cumulative total of approximately $</w:t>
      </w:r>
      <w:r>
        <w:rPr>
          <w:sz w:val="20"/>
          <w:szCs w:val="20"/>
          <w:color w:val="auto"/>
        </w:rPr>
        <w:tab/>
      </w:r>
      <w:r>
        <w:rPr>
          <w:rFonts w:ascii="Times New Roman" w:cs="Times New Roman" w:eastAsia="Times New Roman" w:hAnsi="Times New Roman"/>
          <w:sz w:val="16"/>
          <w:szCs w:val="16"/>
          <w:color w:val="auto"/>
        </w:rPr>
        <w:t>million in debt and equity financing through</w:t>
      </w:r>
      <w:r>
        <w:rPr>
          <w:sz w:val="20"/>
          <w:szCs w:val="20"/>
          <w:color w:val="auto"/>
        </w:rPr>
        <w:tab/>
      </w:r>
      <w:r>
        <w:rPr>
          <w:rFonts w:ascii="Times New Roman" w:cs="Times New Roman" w:eastAsia="Times New Roman" w:hAnsi="Times New Roman"/>
          <w:sz w:val="16"/>
          <w:szCs w:val="16"/>
          <w:color w:val="auto"/>
        </w:rPr>
        <w:t>, 2024, our ongoing operational expenses are now approximately</w:t>
      </w:r>
    </w:p>
    <w:p>
      <w:pPr>
        <w:spacing w:after="0" w:line="12" w:lineRule="exact"/>
        <w:rPr>
          <w:sz w:val="20"/>
          <w:szCs w:val="20"/>
          <w:color w:val="auto"/>
        </w:rPr>
      </w:pPr>
    </w:p>
    <w:p>
      <w:pPr>
        <w:ind w:left="2" w:right="20" w:hanging="2"/>
        <w:spacing w:after="0" w:line="272" w:lineRule="auto"/>
        <w:tabs>
          <w:tab w:leader="none" w:pos="63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per month without yet generating any material corresponding revenue. Our failure to raise additional capital could have a negative impact on not only our financial condition but also our ability to execute our business plan.</w:t>
      </w:r>
    </w:p>
    <w:p>
      <w:pPr>
        <w:spacing w:after="0" w:line="35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2"/>
          </w:cols>
          <w:pgMar w:left="318" w:top="831" w:right="319" w:bottom="1440" w:gutter="0" w:footer="0" w:header="0"/>
        </w:sectPr>
      </w:pPr>
    </w:p>
    <w:bookmarkStart w:id="17" w:name="page18"/>
    <w:bookmarkEnd w:id="17"/>
    <w:p>
      <w:pPr>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fail to effectively manage our growth, we may not be able to design, develop, manufacture, market, and launch new generations of our robotic systems successfully.</w:t>
      </w:r>
    </w:p>
    <w:p>
      <w:pPr>
        <w:spacing w:after="0" w:line="3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spacing w:after="0" w:line="138" w:lineRule="exact"/>
        <w:rPr>
          <w:sz w:val="20"/>
          <w:szCs w:val="20"/>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the management, engineering, and product teams;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recruiting individuals with the appropriate relevant experience;</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and training new personnel;</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commercialization of new products and services;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forecasting production and revenue;</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relationships with one or more third-party design for manufacturing partners and third-party contract manufacturers and/or expanding our internal manufacturing capabilities;</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controlling expenses and investments in anticipation of expanded operations;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out acquisitions and entering into collaborations, in-licensing arrangements, joint ventures, strategic alliances or partnerships;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and enhancing internal information technology, safety, and security systems;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demonstrations;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agreements with suppliers and service providers;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and enhancing administrative infrastructure, systems, and processes.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Should achieved market penetration warrant, we intend to continue to hire a significant number of additional personnel, including engineers, design, production, and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revenues and profits are subject to fluctuations.</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on our services, general economic conditions, our ability to market our company to companies, headcount and other operating costs, and general industry and regulatory conditions and requirements. The Company’s operating results may fluctuate from year to year due to the factors listed above and others not listed. At times, these fluctuations may be significant and could impact our ability to operate our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color w:val="auto"/>
        </w:rPr>
        <w:t>A significant portion of our revenue is concentrated with one customer.</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 significant portion of our revenue is concentrated with one customer, Uber. For the nine months ended September 30, 2023 and the year ended December 31, 2022, sales to Uber accounted for 68% and 50% of our total revenue, respectively. For the year ended December 31, 2021, we had not yet commenced any revenue-generating activity. There are inherent risks whenever a large percentage of total revenues are concentrated with a limited number of customers. If Uber were to breach, cancel or amend our agreement, it may have an outsized effect on our revenue, cash on hand and profitability. In addition, we may have an increased interest in accepting less favorable terms of any amendment as a result.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on general economic conditions.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business model is dependent on companies purchasing our robotic delivery and branding services.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 mile automation, while higher interest rates have resulted in a decrease in investment activity and overall capital allocation to hardware startups. The worsening of current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directors may be engaged in a range of business activities that could result in conflicts of interest.</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may be subject to various potential conflicts of interest because some of our officers and directors may be engaged in a range of business activities.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 For example, One of our directors, James Buckley Jordan, currently serves as a director, officer, or advisor to multiple companies, including Miso Robotics and Vebu Labs, that compete in our industry, robotics and automation.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Unfavorable changes in interest rates and foreign currency exchange rates may adversely affect our financial condition, liquidity, and results of operations.</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9" w:name="page20"/>
    <w:bookmarkEnd w:id="19"/>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The inability of our supply chain to deliver certain key electrical components, such as semiconductors, could materially adversely affect our business, financial condition and results of operations.</w:t>
      </w:r>
    </w:p>
    <w:p>
      <w:pPr>
        <w:spacing w:after="0" w:line="1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For example, throughout 2022, we experienced delays in supply chain deliveries, extended lead times and shortages of key components. Supply chain disruptions may delay the timing of production and maintenance of our robots, which in turn could negatively impact our business, results of operations and financial condition.</w:t>
      </w:r>
    </w:p>
    <w:p>
      <w:pPr>
        <w:spacing w:after="0" w:line="16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attract and retain highly qualified personnel in the future could harm our business.</w:t>
      </w:r>
    </w:p>
    <w:p>
      <w:pPr>
        <w:spacing w:after="0" w:line="2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spacing w:after="0" w:line="35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 addition, new hires often require significant training and, in many cases, take significant time before they achieve full productivity.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spacing w:after="0" w:line="161"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Litigation or legal proceedings could expose us to significant liabilities, occupy a considerable amount of our management’s time and attention, and damage our reputation.</w:t>
      </w:r>
    </w:p>
    <w:p>
      <w:pPr>
        <w:spacing w:after="0" w:line="13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revenue plans rely on partnering with third party delivery platforms, brand sponsors and/or direct sales to merchants.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financial projections also anticipate generating revenues from brand sponsors who would pay to place their branding on our robots as a form of out-of-home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22% and 50% of our revenues for the years ended December 31, 2023 and December 31, 2022, respectively, coming from OOH advertising. In the future, if we are unable to realize these sales, our business model and go-to-market strategy will be jeopardized.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of our service providers or disruptions to our outsourcing relationships may negatively impact our ability to conduct our business.</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Certain of our remote piloting services are currently provided by third-party vendors, and sometimes from service centers outside of the United States. Services provided pursuant to arrangements with these third-party vendors could be disrupted due to events outside of their control such as power failures, cybersecurity incidents, internet traffic congestion or increased latency,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w:t>
      </w:r>
    </w:p>
    <w:p>
      <w:pPr>
        <w:spacing w:after="0" w:line="3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Our robots operate in public spaces and any errors caused by human supervisors, network connectivity issues, third-party software, or automation may adversely affect our commercial relationships.</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ability to attract and retain customers (including merchants, platform partners, and brand sponsors) is heavily dependent on our ability to provide a safe and reliable service. Our safety and security track record have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 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21" w:name="page22"/>
    <w:bookmarkEnd w:id="21"/>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can adversely impact our ability to continue our operations.</w:t>
      </w:r>
    </w:p>
    <w:p>
      <w:pPr>
        <w:spacing w:after="0" w:line="3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limited experience commercializing our products at a large scale and may not be able to do so efficiently or effectively.</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22" w:name="page23"/>
    <w:bookmarkEnd w:id="22"/>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substantially reliant on our relationships with suppliers and service providers for the parts and components in our robots, as well as for the manufacture of our robots. If any of these suppliers or service partners choose to not do business with us, then we would have significant difficulty in procuring and producing our robots and our business prospects would be significantly harmed.</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within a limited timeframe. Failure to leverage this agreement, or secure similar supplier agreements for components that may face availability constraints due to supply chain disruptions can result in higher prices for those components, which in turn increases the cost of manufacturing robots and result in an adverse financial impact to our delivery economics.</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evolving regulations around personal delivery devices (“PDDs”) could materially impact our business and growth prospects in new markets.</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Washington State and the District of Columbia have a 100 lb. unladen weight restriction and the City of Santa Monica prohibits the operation of autonomous devices on sidewalks, that would require amending in order for us to expand into those jurisdictions.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Furthermore, the cellular network and radio systems contained in our robots are regulated by the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and other regulatory bodies. Any failure to comply with the Department of Transportation’s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23" w:name="page24"/>
    <w:bookmarkEnd w:id="23"/>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cause significant safety concerns, each of which could adversely affect our results of operations, financial condition and our reputation.</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inadequate disclosure of risks relating to the use of sidewalk robots, among others,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spacing w:after="0" w:line="16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53"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spacing w:after="0" w:line="161"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operate in a competitive industry that is subject to rapid technological change, and competitors may have or attain more resources and/or greater market recognition than we do.</w:t>
      </w:r>
    </w:p>
    <w:p>
      <w:pPr>
        <w:spacing w:after="0" w:line="1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24" w:name="page25"/>
    <w:bookmarkEnd w:id="24"/>
    <w:p>
      <w:pPr>
        <w:jc w:val="both"/>
        <w:spacing w:after="0" w:line="265" w:lineRule="auto"/>
        <w:rPr>
          <w:sz w:val="20"/>
          <w:szCs w:val="20"/>
          <w:color w:val="auto"/>
        </w:rPr>
      </w:pPr>
      <w:r>
        <w:rPr>
          <w:rFonts w:ascii="Times New Roman" w:cs="Times New Roman" w:eastAsia="Times New Roman" w:hAnsi="Times New Roman"/>
          <w:sz w:val="16"/>
          <w:szCs w:val="16"/>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6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cannot protect, maintain and, if necessary, enforce our intellectual property rights, our ability to develop and commercialize products may be adversely impacted.</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If necessary, we intend to initiate actions to protect our intellectual property, which will be costly and time consuming, and could have an adverse impact on our business, results of operation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of infringement of third-party intellectual property rights.</w:t>
      </w:r>
    </w:p>
    <w:p>
      <w:pPr>
        <w:spacing w:after="0" w:line="21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Our operating results may be adversely affected if third parties claim that our products infringed their patent, copyright, or other intellectual property rights. We cannot assure that our products do not infringe patents held by others or that they will not in the future. Although there have been no allegations made to this effect, we cannot assure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35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Security breaches and other disruptions could compromise our proprietary information and expose us to liability, which would cause our business and reputation to suffer.</w:t>
      </w:r>
    </w:p>
    <w:p>
      <w:pPr>
        <w:spacing w:after="0" w:line="1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25" w:name="page26"/>
    <w:bookmarkEnd w:id="25"/>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that such system improvements will be sufficient to prevent or limit the damage from any future cyber-attack or network disruptions.</w:t>
      </w:r>
    </w:p>
    <w:p>
      <w:pPr>
        <w:spacing w:after="0" w:line="16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spacing w:after="0" w:line="153"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third-party actors attempted to steal one of our robots. We are not aware that any data was obtained during any incident of vandalism or attempted theft.</w:t>
      </w:r>
    </w:p>
    <w:p>
      <w:pPr>
        <w:spacing w:after="0" w:line="16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spacing w:after="0" w:line="15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26" w:name="page27"/>
    <w:bookmarkEnd w:id="26"/>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3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delivery robotic systems on a large scale, coupled with the fact that our products represent a new product category in the commercial and delivery robotic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spacing w:after="0" w:line="16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5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If we cannot raise additional funds when we need or want them, we may be forced to curtail or abandon our growth plans, which could adversely impact the Company, its business, development, financial condition, operating results or prospects.</w:t>
      </w:r>
    </w:p>
    <w:p>
      <w:pPr>
        <w:spacing w:after="0" w:line="13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3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We will need additional capital to develop the next version of the Serve robots and scale our commercial delivery operations. We will not be able to continue product development and our commercial deliveries if we cannot raise additional debt and/or equity financing.</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spacing w:after="0" w:line="15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13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are required to keep deposits with Silicon Valley Bank pursuant to our Loan and Security Agreement with them. Although we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27" w:name="page28"/>
    <w:bookmarkEnd w:id="27"/>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If use of the internet via websites, mobile devices and other platforms, particularly with respect to online food ordering, does not continue, our business and growth prospects will be harmed.</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spacing w:after="0" w:line="157" w:lineRule="exact"/>
        <w:rPr>
          <w:sz w:val="20"/>
          <w:szCs w:val="20"/>
          <w:color w:val="auto"/>
        </w:rPr>
      </w:pPr>
    </w:p>
    <w:p>
      <w:pPr>
        <w:ind w:left="880" w:hanging="293"/>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perceived lack of security of information or privacy protection;</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disruptions, computer viruses or other damage to internet servers, users’ computers or mobile applications;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excessive governmental regulation;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unacceptable delays due to actual or perceived limitations of wireless networks.</w:t>
      </w:r>
    </w:p>
    <w:p>
      <w:pPr>
        <w:spacing w:after="0" w:line="2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spacing w:after="0" w:line="3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we believe labor inflation increases the cost of manual courier delivery and similar alternatives to robotic delivery more than it increases robotic delivery cost. However, we believe improvements in robot autonomy will continue to reduce the rate of labor usage.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28" w:name="page29"/>
    <w:bookmarkEnd w:id="28"/>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prospectus necessarily reflect various estimates and assumptions that may not prove accurate and these projections could differ materially from actual results because of the risks included in this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among others. If demand does not develop as expected or if we cannot accurately forecast pricing, adoption rates and sales cycle for our products, our business, results of operations and financial condition will be adversely affected.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benefits of our products to customers and projected return on investment have not been substantiated through long-term trials or use.</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core products’ benefits to customers and projected return on investment have not been substantiated through long-term trials or use. We currently have a limited frame of reference by which to evaluate the performance of our delivery robotic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delivery robotic systems.</w:t>
      </w:r>
    </w:p>
    <w:p>
      <w:pPr>
        <w:spacing w:after="0" w:line="16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Even if we successfully market our robotic systems, the purchase or subscription, adoption and use of these systems may be materially and negatively impacted if our customers resist their use and adoption.</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Our systems, products, technologies and services and related equipment may have shorter useful lives than we anticipate.</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prior to the end of its life obsolete.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spacing w:after="0" w:line="16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Any acquisitions, partnerships, or joint ventures that we enter into could disrupt our operations and have a material adverse effect on our business, financial condition and results of operations.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From time to time, we may evaluate potential strategic acquisitions of businesses, including partnerships or joint ventures with third parties. We may not be successful in identifying acquisition, partnership, and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35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spacing w:after="0" w:line="13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Failure to successfully identify, complete, manage and integrate acquisitions could materially and adversely affect our business, financial condition and results of operations and could cause our stock price to decline.</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0" w:name="page31"/>
    <w:bookmarkEnd w:id="30"/>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spacing w:after="0" w:line="1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Our management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risks related to natural disasters, health epidemics and other outbreaks, which could significantly disrupt our operations.</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spacing w:after="0" w:line="153"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any manufacturing partners, and suppliers may rely on complex machinery for production, which involves a significant degree of risk and uncertainty in terms of operational performance and costs.</w:t>
      </w:r>
    </w:p>
    <w:p>
      <w:pPr>
        <w:spacing w:after="0" w:line="13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adequately control the costs associated with our operations.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expects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31" w:name="page32"/>
    <w:bookmarkEnd w:id="31"/>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3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spacing w:after="0" w:line="15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spacing w:after="0" w:line="14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Laws, regulations, and other legislative efforts related to climate change, environmental concerns, and health and safety could result in increased operating costs, reduced demand for our products and services, or the loss of future business.</w:t>
      </w:r>
    </w:p>
    <w:p>
      <w:pPr>
        <w:spacing w:after="0" w:line="13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6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5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spacing w:after="0" w:line="1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32" w:name="page33"/>
    <w:bookmarkEnd w:id="32"/>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Climate change laws and environmental regulations could result in increased operating costs and reduced demand for our services.</w:t>
      </w:r>
    </w:p>
    <w:p>
      <w:pPr>
        <w:spacing w:after="0" w:line="213" w:lineRule="exact"/>
        <w:rPr>
          <w:sz w:val="20"/>
          <w:szCs w:val="20"/>
          <w:color w:val="auto"/>
        </w:rPr>
      </w:pPr>
    </w:p>
    <w:p>
      <w:pPr>
        <w:jc w:val="both"/>
        <w:ind w:left="2" w:right="20"/>
        <w:spacing w:after="0" w:line="265" w:lineRule="auto"/>
        <w:rPr>
          <w:sz w:val="20"/>
          <w:szCs w:val="20"/>
          <w:color w:val="auto"/>
        </w:rPr>
      </w:pPr>
      <w:r>
        <w:rPr>
          <w:rFonts w:ascii="Times New Roman" w:cs="Times New Roman" w:eastAsia="Times New Roman" w:hAnsi="Times New Roman"/>
          <w:sz w:val="16"/>
          <w:szCs w:val="16"/>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robots or utilize energy to deliver our services. In addition, any new regulations or laws in the environmental area might increase the cost of raw materials or key components we use in our robots. Environmental regulations may require us to reduce product energy usage and to participate in compulsory recovery and recycling of our robots or components. We are unable to predict how any future changes will impact us and if such impacts will be material to our business.</w:t>
      </w:r>
    </w:p>
    <w:p>
      <w:pPr>
        <w:spacing w:after="0" w:line="162" w:lineRule="exact"/>
        <w:rPr>
          <w:sz w:val="20"/>
          <w:szCs w:val="20"/>
          <w:color w:val="auto"/>
        </w:rPr>
      </w:pPr>
    </w:p>
    <w:p>
      <w:pPr>
        <w:jc w:val="both"/>
        <w:ind w:left="2" w:right="20"/>
        <w:spacing w:after="0" w:line="269" w:lineRule="auto"/>
        <w:rPr>
          <w:sz w:val="20"/>
          <w:szCs w:val="20"/>
          <w:color w:val="auto"/>
        </w:rPr>
      </w:pPr>
      <w:r>
        <w:rPr>
          <w:rFonts w:ascii="Times New Roman" w:cs="Times New Roman" w:eastAsia="Times New Roman" w:hAnsi="Times New Roman"/>
          <w:sz w:val="16"/>
          <w:szCs w:val="16"/>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Severe weather conditions and climate change could have a material adverse impact on our business by reducing the operating hours of our robots.</w:t>
      </w:r>
    </w:p>
    <w:p>
      <w:pPr>
        <w:spacing w:after="0" w:line="213" w:lineRule="exact"/>
        <w:rPr>
          <w:sz w:val="20"/>
          <w:szCs w:val="20"/>
          <w:color w:val="auto"/>
        </w:rPr>
      </w:pPr>
    </w:p>
    <w:p>
      <w:pPr>
        <w:jc w:val="both"/>
        <w:ind w:left="2" w:right="20"/>
        <w:spacing w:after="0" w:line="269" w:lineRule="auto"/>
        <w:rPr>
          <w:sz w:val="20"/>
          <w:szCs w:val="20"/>
          <w:color w:val="auto"/>
        </w:rPr>
      </w:pPr>
      <w:r>
        <w:rPr>
          <w:rFonts w:ascii="Times New Roman" w:cs="Times New Roman" w:eastAsia="Times New Roman" w:hAnsi="Times New Roman"/>
          <w:sz w:val="16"/>
          <w:szCs w:val="16"/>
          <w:color w:val="auto"/>
        </w:rPr>
        <w:t>Our robots are designed to operate in common environmental conditions. Currently we operate our robots in warm and dry climates, and we do not operate robots under rare or extreme conditions such as strong storms or unusually high or low temperatures. While with each new generation of robots, we plan to continually expand their operating ability (e.g., introducing the ability to manage ice and snow), which in turn would expand our geographic reach, there is no guarantee that our efforts will successfully overcome all severe weather conditions.</w:t>
      </w:r>
    </w:p>
    <w:p>
      <w:pPr>
        <w:spacing w:after="0" w:line="153" w:lineRule="exact"/>
        <w:rPr>
          <w:sz w:val="20"/>
          <w:szCs w:val="20"/>
          <w:color w:val="auto"/>
        </w:rPr>
      </w:pPr>
    </w:p>
    <w:p>
      <w:pPr>
        <w:jc w:val="both"/>
        <w:ind w:left="2"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33"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spacing w:after="0" w:line="165" w:lineRule="exact"/>
        <w:rPr>
          <w:sz w:val="20"/>
          <w:szCs w:val="20"/>
          <w:color w:val="auto"/>
        </w:rPr>
      </w:pPr>
    </w:p>
    <w:p>
      <w:pPr>
        <w:jc w:val="both"/>
        <w:ind w:left="2" w:right="20"/>
        <w:spacing w:after="0" w:line="267" w:lineRule="auto"/>
        <w:rPr>
          <w:sz w:val="20"/>
          <w:szCs w:val="20"/>
          <w:color w:val="auto"/>
        </w:rPr>
      </w:pPr>
      <w:r>
        <w:rPr>
          <w:rFonts w:ascii="Times New Roman" w:cs="Times New Roman" w:eastAsia="Times New Roman" w:hAnsi="Times New Roman"/>
          <w:sz w:val="16"/>
          <w:szCs w:val="16"/>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w:t>
      </w:r>
    </w:p>
    <w:p>
      <w:pPr>
        <w:spacing w:after="0" w:line="1" w:lineRule="exact"/>
        <w:rPr>
          <w:sz w:val="20"/>
          <w:szCs w:val="20"/>
          <w:color w:val="auto"/>
        </w:rPr>
      </w:pPr>
    </w:p>
    <w:p>
      <w:pPr>
        <w:ind w:left="262" w:hanging="262"/>
        <w:spacing w:after="0"/>
        <w:tabs>
          <w:tab w:leader="none" w:pos="26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transmission control modules or other in-product technology, owned by us or our third-party vendors or suppliers; (d) the integrated software in our units; or</w:t>
      </w:r>
    </w:p>
    <w:p>
      <w:pPr>
        <w:spacing w:after="0" w:line="12" w:lineRule="exact"/>
        <w:rPr>
          <w:rFonts w:ascii="Times New Roman" w:cs="Times New Roman" w:eastAsia="Times New Roman" w:hAnsi="Times New Roman"/>
          <w:sz w:val="16"/>
          <w:szCs w:val="16"/>
          <w:color w:val="auto"/>
        </w:rPr>
      </w:pPr>
    </w:p>
    <w:p>
      <w:pPr>
        <w:jc w:val="both"/>
        <w:ind w:left="2" w:hanging="2"/>
        <w:spacing w:after="0" w:line="258" w:lineRule="auto"/>
        <w:tabs>
          <w:tab w:leader="none" w:pos="24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365"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2"/>
          </w:cols>
          <w:pgMar w:left="318" w:top="831" w:right="319" w:bottom="1440" w:gutter="0" w:footer="0" w:header="0"/>
        </w:sectPr>
      </w:pPr>
    </w:p>
    <w:bookmarkStart w:id="33" w:name="page34"/>
    <w:bookmarkEnd w:id="33"/>
    <w:p>
      <w:pPr>
        <w:jc w:val="both"/>
        <w:spacing w:after="0" w:line="262" w:lineRule="auto"/>
        <w:rPr>
          <w:sz w:val="20"/>
          <w:szCs w:val="20"/>
          <w:color w:val="auto"/>
        </w:rPr>
      </w:pPr>
      <w:r>
        <w:rPr>
          <w:rFonts w:ascii="Times New Roman" w:cs="Times New Roman" w:eastAsia="Times New Roman" w:hAnsi="Times New Roman"/>
          <w:sz w:val="16"/>
          <w:szCs w:val="16"/>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6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6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6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5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34" w:name="page35"/>
    <w:bookmarkEnd w:id="34"/>
    <w:p>
      <w:pPr>
        <w:jc w:val="both"/>
        <w:spacing w:after="0" w:line="259" w:lineRule="auto"/>
        <w:rPr>
          <w:sz w:val="20"/>
          <w:szCs w:val="20"/>
          <w:color w:val="auto"/>
        </w:rPr>
      </w:pPr>
      <w:r>
        <w:rPr>
          <w:rFonts w:ascii="Times New Roman" w:cs="Times New Roman" w:eastAsia="Times New Roman" w:hAnsi="Times New Roman"/>
          <w:sz w:val="16"/>
          <w:szCs w:val="16"/>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35" w:name="page36"/>
    <w:bookmarkEnd w:id="35"/>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U.S. and foreign anti-corruption and anti-money laundering laws and regulations. We can face criminal liability and other serious consequences for violations, which can harm our business, prospects, financial condition and operating results.</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are subject to the U.S. Foreign Corrupt Practices Act of 1977, as amended (the “FCPA”), the U.S. domestic bribery statute contained in 18 U.S.C. § 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Being a public company can be administratively burdensome and will significantly increase our legal and financial compliance costs.</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a public reporting company, 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spacing w:after="0" w:line="165" w:lineRule="exact"/>
        <w:rPr>
          <w:sz w:val="20"/>
          <w:szCs w:val="20"/>
          <w:color w:val="auto"/>
        </w:rPr>
      </w:pPr>
    </w:p>
    <w:p>
      <w:pPr>
        <w:ind w:left="880" w:hanging="293"/>
        <w:spacing w:after="0" w:line="294"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evaluate a system of internal controls over financial reporting in compliance with the requirements of Section 404 of the Sarbanes-Oxley Act and the related rules and regulations of the SEC and the Public Company Accounting Oversight Board;</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policies relating to disclosure controls and procedures;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distribute periodic reports in compliance with our obligations under federal securities laws;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institute a more comprehensive compliance function, including with respect to corporate governance;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involve, to a greater degree, our outside legal counsel and accountants in the above activities.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6" w:name="page37"/>
    <w:bookmarkEnd w:id="36"/>
    <w:p>
      <w:pPr>
        <w:jc w:val="both"/>
        <w:spacing w:after="0" w:line="263" w:lineRule="auto"/>
        <w:rPr>
          <w:sz w:val="20"/>
          <w:szCs w:val="20"/>
          <w:color w:val="auto"/>
        </w:rPr>
      </w:pPr>
      <w:r>
        <w:rPr>
          <w:rFonts w:ascii="Times New Roman" w:cs="Times New Roman" w:eastAsia="Times New Roman" w:hAnsi="Times New Roman"/>
          <w:sz w:val="16"/>
          <w:szCs w:val="16"/>
          <w:color w:val="auto"/>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as a group has limited experience in operating a publicly traded company.</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20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Our stock price will likely be volatile and an active, liquid and orderly trading market may not develop for our common stock. As a result you may not be able to resell your shares at or above your purchase price.</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Before this offering, there has been no public market for shares of our common stock. Although we intend to list our common stock on Nasdaq, an active trading market for our common stock may not develop or, if it develops, may not be sustained after this offering. The lack of an active market may impair your ability to sell your shares at the time you wish to sell them or at a price that you consider reasonable, which may reduce the fair market value of your shares. Further, an inactive market may also impair our ability to raise capital by selling our common stock and may impair our ability to enter into strategic partnerships or acquire future products or licenses by using our common stock as consideration. Our company and the representatives of the underwriters will negotiate to determine the initial public offering price. The initial public offering price may be higher than the market price of our common stock after the offering and you may not be able to sell your shares of our common stock at or above the price you paid in the offering. As a result, you could lose all or part of your investment.</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market price of our common stock following this offering may fluctuate substantially as a result of many factors, some of which are beyond our control. These fluctuations could cause you to lose all or part of the value of your investment in our common stock. Factors that could cause fluctuations in the market price of our common stock include the following:</w:t>
      </w:r>
    </w:p>
    <w:p>
      <w:pPr>
        <w:spacing w:after="0" w:line="153" w:lineRule="exact"/>
        <w:rPr>
          <w:sz w:val="20"/>
          <w:szCs w:val="20"/>
          <w:color w:val="auto"/>
        </w:rPr>
      </w:pPr>
    </w:p>
    <w:p>
      <w:pPr>
        <w:ind w:left="880" w:hanging="293"/>
        <w:spacing w:after="0" w:line="29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third parties on whom we rely to manufacture our products, product components and product candidates, including their ability to comply with regulatory requirements;</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and fluctuation in, the sales of our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37" w:name="page38"/>
    <w:bookmarkEnd w:id="37"/>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execution of our sales and marketing, manufacturing and other aspects of our business plan;</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operations that vary from those of our competitors and the expectations of securities analysts and investors;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expectations as to our future financial performance, including financial estimates by securities analysts and investors;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announcement of significant contracts, acquisitions, or capital commitments;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our competitors of competing products or other initiatives;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third parties of significant claims or proceedings against us;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and reimbursement developments in the United States and abroad;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sales of our common stock;</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domestic and international economic conditions unrelated to our performance.</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addition, the stock market in general has experienced significant price and volume fluctuations that have often been unrelated or disproportionate to operating performance of individual companies. These broad market factors may adversely affect the market price of our common stock, regardless of our operating performance. In the past, following periods of volatility in the market price of a company’s securities, securities class action litigation has often been instituted. A securities class action suit against us could result in significant liabilities and, regardless of the outcome, could result in substantial costs and the diversion of our management’s attention and resources.</w:t>
      </w:r>
    </w:p>
    <w:p>
      <w:pPr>
        <w:spacing w:after="0" w:line="3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Our principal stockholders will have a controlling influence over our business affairs and may make business decisions with which you disagree and which may adversely affect the value of your investment.</w:t>
      </w:r>
    </w:p>
    <w:p>
      <w:pPr>
        <w:spacing w:after="0" w:line="1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After this offering, it is anticipated that our principal stockholders and their affiliates will beneficially own or control, directly or indirectly, approximately % of the outstanding shares of our common stock, or % if the underwriters’ option to purchase additional shares is exercised in full. In addition, certain of our existing principal stockholders have indicated an interest in purchasing up to an aggregate of approximately $ million in shares of our common stock in this offering at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public offering price. If such principal stockholders were to purchase all of the shares they have indicated an interest in purchasing in this offering, such stockholders</w:t>
      </w:r>
    </w:p>
    <w:p>
      <w:pPr>
        <w:spacing w:after="0" w:line="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would beneficially own approximately % of our outstanding common stock after this offering, or % if the underwriters’ option to purchase additional shares is exercised in full. As a result, if some of these persons or entities act together, they will have the ability to exercise significant influence over matters submitted to our stockholders for approval, including the election and removal of directors, amendments to our certificate of incorporation and by-laws and the approval of any business combination. These actions may be taken even if they are opposed by other stockholders. This concentration of ownership may also have the effect of delaying or preventing a change of control of our company or discouraging others from making tender offers for shares of our common stock, which could prevent our stockholders from receiving a premium for their shares. Some of these persons or entities who make up our principal stockholders may have interests different from yours.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Principal Stockholders</w:t>
      </w:r>
      <w:r>
        <w:rPr>
          <w:rFonts w:ascii="Times New Roman" w:cs="Times New Roman" w:eastAsia="Times New Roman" w:hAnsi="Times New Roman"/>
          <w:sz w:val="16"/>
          <w:szCs w:val="16"/>
          <w:color w:val="auto"/>
        </w:rPr>
        <w:t>” below for more information regarding the ownership of our outstanding common stock by our principal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Investors purchasing common stock in this offering will experience immediate and substantial dilution.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assumed initial public offering price of shares of our common stock is substantially higher than the pro forma as adjusted net tangible book value per outstanding share</w:t>
      </w:r>
    </w:p>
    <w:p>
      <w:pPr>
        <w:spacing w:after="0" w:line="30" w:lineRule="exact"/>
        <w:rPr>
          <w:sz w:val="20"/>
          <w:szCs w:val="20"/>
          <w:color w:val="auto"/>
        </w:rPr>
      </w:pPr>
    </w:p>
    <w:p>
      <w:pPr>
        <w:spacing w:after="0"/>
        <w:tabs>
          <w:tab w:leader="none" w:pos="5440" w:val="left"/>
        </w:tabs>
        <w:rPr>
          <w:sz w:val="20"/>
          <w:szCs w:val="20"/>
          <w:color w:val="auto"/>
        </w:rPr>
      </w:pPr>
      <w:r>
        <w:rPr>
          <w:rFonts w:ascii="Times New Roman" w:cs="Times New Roman" w:eastAsia="Times New Roman" w:hAnsi="Times New Roman"/>
          <w:sz w:val="16"/>
          <w:szCs w:val="16"/>
          <w:color w:val="auto"/>
        </w:rPr>
        <w:t>of our common stock. You will incur immediate and substantial dilution of $</w:t>
      </w:r>
      <w:r>
        <w:rPr>
          <w:sz w:val="20"/>
          <w:szCs w:val="20"/>
          <w:color w:val="auto"/>
        </w:rPr>
        <w:tab/>
      </w:r>
      <w:r>
        <w:rPr>
          <w:rFonts w:ascii="Times New Roman" w:cs="Times New Roman" w:eastAsia="Times New Roman" w:hAnsi="Times New Roman"/>
          <w:sz w:val="16"/>
          <w:szCs w:val="16"/>
          <w:color w:val="auto"/>
        </w:rPr>
        <w:t>per share in the pro forma as adjusted net tangible book value of shares of our common</w:t>
      </w:r>
    </w:p>
    <w:p>
      <w:pPr>
        <w:spacing w:after="0" w:line="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stock, based on an assumed initial public offering price of $ per share, which is the midpoint of the price range set forth on the cover page of this prospectus. As a result of the dilution to investors purchasing shares in this offering, investors may receive significantly less than the purchase price paid in this offering, if anything, in the</w:t>
      </w:r>
    </w:p>
    <w:p>
      <w:pPr>
        <w:jc w:val="both"/>
        <w:spacing w:after="0" w:line="256" w:lineRule="auto"/>
        <w:rPr>
          <w:sz w:val="20"/>
          <w:szCs w:val="20"/>
          <w:color w:val="auto"/>
        </w:rPr>
      </w:pPr>
      <w:r>
        <w:rPr>
          <w:rFonts w:ascii="Times New Roman" w:cs="Times New Roman" w:eastAsia="Times New Roman" w:hAnsi="Times New Roman"/>
          <w:sz w:val="16"/>
          <w:szCs w:val="16"/>
          <w:color w:val="auto"/>
        </w:rPr>
        <w:t>event of liquidation. Further, investors purchasing shares of our common stock in this offering will contribute approximately % of the total amount invested by stockholders since our inception, but will own, as a result of such investment, only % of shares of our common stock outstanding immediately following this offering.</w:t>
      </w: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we have outstanding options and warrants with exercise prices significantly below the initial public offering price. To the extent outstanding options and warrants are ultimately exercised, there will be further dilution of the common stock sold in this offering. See “</w:t>
      </w:r>
      <w:r>
        <w:rPr>
          <w:rFonts w:ascii="Times New Roman" w:cs="Times New Roman" w:eastAsia="Times New Roman" w:hAnsi="Times New Roman"/>
          <w:sz w:val="16"/>
          <w:szCs w:val="16"/>
          <w:i w:val="1"/>
          <w:iCs w:val="1"/>
          <w:color w:val="auto"/>
        </w:rPr>
        <w:t>Dilution</w:t>
      </w:r>
      <w:r>
        <w:rPr>
          <w:rFonts w:ascii="Times New Roman" w:cs="Times New Roman" w:eastAsia="Times New Roman" w:hAnsi="Times New Roman"/>
          <w:sz w:val="16"/>
          <w:szCs w:val="16"/>
          <w:color w:val="auto"/>
        </w:rPr>
        <w:t>” below for more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sales, or the expectation of future sales, of a substantial number of our common shares could depress the trading price of our common stock.</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If we or our stockholders sell substantial amounts of shares of our common stock in the public market following this offering or if the market anticipates that these sales could occur, the market price of shares of our common stock could decline. These sales may make it more difficult for us to sell equity or equity-related securities in the future at a time and price that we deem appropriate, or to use equity as consideration for future acquisitions.</w:t>
      </w:r>
    </w:p>
    <w:p>
      <w:pPr>
        <w:spacing w:after="0" w:line="153"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6"/>
          <w:szCs w:val="16"/>
          <w:color w:val="auto"/>
        </w:rPr>
        <w:t>Upon completion of this offering, we will have 300,000,000 shares of our common stock authorized and  shares of our common stock outstanding. Of these shares, the shares to be sold in this offering, plus any shares sold upon exercise of the underwriters’ option to purchase additional shares but excluding any portion of such shares purchased by certain of our existing principal stockholders, will be freely tradable. We, our executive officers and directors, and holders of substantially all of our outstanding capital stock have entered into agreements with the underwriters not to sell or otherwise dispose of shares of our common stock for a period of at least</w:t>
      </w:r>
    </w:p>
    <w:p>
      <w:pPr>
        <w:spacing w:after="0" w:line="2" w:lineRule="exact"/>
        <w:rPr>
          <w:sz w:val="20"/>
          <w:szCs w:val="20"/>
          <w:color w:val="auto"/>
        </w:rPr>
      </w:pPr>
    </w:p>
    <w:p>
      <w:pPr>
        <w:jc w:val="both"/>
        <w:ind w:firstLine="371"/>
        <w:spacing w:after="0" w:line="256" w:lineRule="auto"/>
        <w:rPr>
          <w:sz w:val="20"/>
          <w:szCs w:val="20"/>
          <w:color w:val="auto"/>
        </w:rPr>
      </w:pPr>
      <w:r>
        <w:rPr>
          <w:rFonts w:ascii="Times New Roman" w:cs="Times New Roman" w:eastAsia="Times New Roman" w:hAnsi="Times New Roman"/>
          <w:sz w:val="16"/>
          <w:szCs w:val="16"/>
          <w:color w:val="auto"/>
        </w:rPr>
        <w:t>days following completion of this offering, with certain exceptions. Immediately upon the expiration of this lock-up period, shares of our common stock will be freely tradable pursuant to Rule 144 under the Securities Act by non-affiliates and another shares will be eligible for resale pursuant to Rule 144 under the Securities</w:t>
      </w:r>
    </w:p>
    <w:p>
      <w:pPr>
        <w:jc w:val="both"/>
        <w:spacing w:after="0" w:line="272" w:lineRule="auto"/>
        <w:rPr>
          <w:sz w:val="20"/>
          <w:szCs w:val="20"/>
          <w:color w:val="auto"/>
        </w:rPr>
      </w:pPr>
      <w:r>
        <w:rPr>
          <w:rFonts w:ascii="Times New Roman" w:cs="Times New Roman" w:eastAsia="Times New Roman" w:hAnsi="Times New Roman"/>
          <w:sz w:val="16"/>
          <w:szCs w:val="16"/>
          <w:color w:val="auto"/>
        </w:rPr>
        <w:t>Act, subject to the volume, manner of sale, holding period and other limitations of Rule 144, such amounts excluding any shares purchased by our existing principal stockholders in this offering.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promptly following the closing of this offering, we intend to file one or more registration statements on Form S-8 under the Securities Act registering the</w:t>
      </w:r>
    </w:p>
    <w:p>
      <w:pPr>
        <w:spacing w:after="0" w:line="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issuance of approximately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39" w:name="page40"/>
    <w:bookmarkEnd w:id="39"/>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have broad discretion in the use of the net proceeds from this offering and may not use them effectively or may use them in a way with respect to which investors do not approve.</w:t>
      </w:r>
    </w:p>
    <w:p>
      <w:pPr>
        <w:spacing w:after="0" w:line="1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Although we currently intend to use the net proceeds from this offering in the manner described in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elsewhere in this prospectus, our management will have broad discretion in the application of the net proceeds from this offering and could spend the proceeds in ways that do not improve our results of operations or enhance the value of shares of our common stock. The failure by our management to apply these funds effectively could result in financial losses that could have a material adverse effect on our business, cause the market price of shares of our common stock to decline and delay the development of our product candidates. Pending their use, we may invest the net proceeds from this offering in a manner that does not produce income or that loses value. If we do not invest the net proceeds from this offering in ways that enhance stockholder value, we may fail to achieve expected financial results, which could cause the price of shares of our common stock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designation of our common stock as “penny stock” would limit the liquidity of our common stock.</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Penny stock in start-up companies is among the riskiest equity investments. Broker-dealers who sell penny stock must provide purchasers with a standardized risk-disclosure document prepared by the SEC. The document provides information about penny stock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If our common stock is deemed “penny stock”, because of penny stock rules, there may be less trading activity in any market that develops for our common stock in the future and stockholders are likely to have difficulty selling their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FINRA sales practice requirements may limit a stockholder’s ability to buy and sell our common stock.</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obligated to develop and maintain proper and effective internal control over financial reporting. If we fail to develop and maintain an effective system of disclosure controls and internal control over financial reporting, our ability to produce timely and accurate financial statements or comply with applicable laws and regulations could be impaired. In addition, the presence of material weaknesses increases the risk of material misstatement of the consolidated financial statements.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are a public company and are required, pursuant to Section 404(a) of the Sarbanes-Oxley Act, to furnish a report by management on, among other things, the effectiveness of its internal control over financial reporting on its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6"/>
          <w:szCs w:val="16"/>
          <w:color w:val="auto"/>
        </w:rPr>
        <w:t>The report by management will need to include disclosure of any material weaknesses identified in internal control over financial reporting. However, for as long as we are an “emerging growth company” under the JOBS Act, our independent registered public accounting firm will not be required to attest to the effectiveness of internal control over financial reporting pursuant to Section 404(b) of the Sarbanes-Oxley Act. Management’s assessment of internal controls, when implemented, could detect problems with internal controls, and an independent assessment of the effectiveness of internal controls by our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 public company requirements, we may need to undertake various actions, such as implementing new internal controls and procedures and hiring accounting or internal audit staff.</w:t>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are in the early stages of developing the system and processing documentation necessary to perform the evaluation needed to comply with Section 404. We may not be able to complete its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addition, as disclosed in our Quarterly Report on Form 10-Q for the quarter ended September 30, 2023,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and based upon that evaluation, our Chief Executive Officer and Chief Financial Officer concluded that our disclosure controls and procedures are not effective at the reasonable assurance level.</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If we are unable to assert that our internal control over financial reporting is effective, or if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any over-the-counter trading system, or following any potential listing, listed on any securities exchange.</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13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38" w:lineRule="exact"/>
        <w:rPr>
          <w:sz w:val="20"/>
          <w:szCs w:val="20"/>
          <w:color w:val="auto"/>
        </w:rPr>
      </w:pPr>
    </w:p>
    <w:p>
      <w:pPr>
        <w:ind w:left="880" w:hanging="293"/>
        <w:spacing w:after="0" w:line="294"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have our independent registered public accounting firm audit our internal control over financial reporting under Section 404 of the Sarbanes-Oxley Act;</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obligations regarding executive compensation in our periodic reports and annual report on Form 10-K; and</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non-binding advisory votes on executive compensation and stockholder approval of any golden parachute payments not previously approved.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41" w:name="page42"/>
    <w:bookmarkEnd w:id="41"/>
    <w:p>
      <w:pPr>
        <w:spacing w:after="0" w:line="294" w:lineRule="auto"/>
        <w:rPr>
          <w:sz w:val="20"/>
          <w:szCs w:val="20"/>
          <w:color w:val="auto"/>
        </w:rPr>
      </w:pPr>
      <w:r>
        <w:rPr>
          <w:rFonts w:ascii="Times New Roman" w:cs="Times New Roman" w:eastAsia="Times New Roman" w:hAnsi="Times New Roman"/>
          <w:sz w:val="16"/>
          <w:szCs w:val="16"/>
          <w:color w:val="auto"/>
        </w:rPr>
        <w:t>We could be an emerging growth company for up to five years following the completion of our initial public offering. Our status as an emerging growth company will end as soon as any of the following takes place:</w:t>
      </w:r>
    </w:p>
    <w:p>
      <w:pPr>
        <w:spacing w:after="0" w:line="138" w:lineRule="exact"/>
        <w:rPr>
          <w:sz w:val="20"/>
          <w:szCs w:val="20"/>
          <w:color w:val="auto"/>
        </w:rPr>
      </w:pPr>
    </w:p>
    <w:p>
      <w:pPr>
        <w:ind w:left="880" w:hanging="293"/>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have more than $1.235 billion in annual revenues;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we qualify as a “large accelerated filer,” with at least $700 million of equity securities held by non-affiliates;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issued, in any three-year period, more than $1.00 billion in non-convertible debt securities; or</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ending after the fifth anniversary of the completion of the Merger.</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53" w:lineRule="exact"/>
        <w:rPr>
          <w:sz w:val="20"/>
          <w:szCs w:val="20"/>
          <w:color w:val="auto"/>
        </w:rPr>
      </w:pPr>
    </w:p>
    <w:p>
      <w:pPr>
        <w:ind w:left="880" w:hanging="293"/>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 classified board of directors so that not all members of our board are elected at one time;</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only the board of directors to establish the number of directors and fill vacancies on the board;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directors may only be removed “for cause” and only with the approval of two-thirds of our stockholders;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super-majority voting to amend some provisions in our amended and restated certificate of incorporation and amended and restated bylaws;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the issuance of “blank check” preferred stock that our board could use to implement a stockholder rights plan;</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the ability of our stockholders to call special meetings of stockholders;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 action by written consent, which requires all stockholder actions to be taken at a meeting of our stockholders;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cumulative voting; and</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advance notice requirements for nominations for election to our board or for proposing matters that can be acted upon by stockholders at annual stockholder meetings.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16"/>
          <w:szCs w:val="16"/>
          <w:color w:val="auto"/>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risks related to securities litigation that could result in significant legal expenses and settlement or damage awards.</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43" w:name="page44"/>
    <w:bookmarkEnd w:id="43"/>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3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4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unfavorable or inaccurate research about our business, our stock price and trading volume could decline.</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trading market for our common stock will depend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61"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We are and may continue to be significantly impacted by the worldwide economic downturn due to pandemics, outbreaks of other contagious diseases, and other catastrophic events.</w:t>
      </w:r>
    </w:p>
    <w:p>
      <w:pPr>
        <w:spacing w:after="0" w:line="13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spacing w:after="0" w:line="15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 addition, we cannot predict the impact any future pandemic or outbreak of a disease, or a catastrophic event will have on our business partners and third-party merchants and suppliers, and we may be adversely impacted as a result of the adverse impact our business partners and third-party merchants and suppliers suffer. For example, if we are unable to produce our robots due to manufacturing strains, we may not be able to build and deploy our robots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Any of the foregoing factors, or other cascading effects of the pandemic that are not currently foreseeable, could adversely impact our business, financial performance and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This prospectus, including the sections entitled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Description of our Business</w:t>
      </w:r>
      <w:r>
        <w:rPr>
          <w:rFonts w:ascii="Times New Roman" w:cs="Times New Roman" w:eastAsia="Times New Roman" w:hAnsi="Times New Roman"/>
          <w:sz w:val="16"/>
          <w:szCs w:val="16"/>
          <w:color w:val="auto"/>
        </w:rPr>
        <w:t>”,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Forward-looking statements include, but are not limited to, statements about:</w:t>
      </w:r>
    </w:p>
    <w:p>
      <w:pPr>
        <w:spacing w:after="0" w:line="209" w:lineRule="exact"/>
        <w:rPr>
          <w:sz w:val="20"/>
          <w:szCs w:val="20"/>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enforce our intellectual property protection and the scope and duration of such protection;</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 parties, including suppliers, delivery platforms, brand sponsors, software providers and service providers;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operate in public spaces and any errors caused by human supervisors, network connectivity or automation;</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robots’ reliance on sophisticated software technology that incorporates third-party components and networks to operate, and our ability to maintain licenses for this software technology;</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commercialize our products at a large scale;</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competitive industry in which we operate which is subject to rapid technological change;</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additional capital to develop our technology and scale our operations;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and projections relating to our competitors and our industry;</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adequately control the costs associated with our operations;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current and future laws and regulations, especially those related to personal delivery devices;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cybersecurity risks to our operational systems, infrastructure, and integrated software by us or third-party vendors;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of a market for our common stock;</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intended use of proceeds from the offering; and</w:t>
      </w:r>
    </w:p>
    <w:p>
      <w:pPr>
        <w:spacing w:after="0" w:line="206"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including those listed under the caption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and elsewhere in this prospectus, in any applicable prospectus supplement and in any related free writing prospectus.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Any forward-looking statement in this prospectus, in any applicable prospectus supplement and in any related free writing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Except as required by law, we assume no obligation to update or revise these forward-looking statements for any reason, even if new information becomes available in the future.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THE MERGER, THE PRIVATE PLACEMENT, AND RELATED TRANSACTIONS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Bridge Financing</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April 2023, Serve offered and sold $3,001,500 principal amount of its senior subordinated secured convertible notes (the “Bridge Notes”) in a private placement (the “Bridge Financing”) to certain accredited investors. The Bridge Notes bore interest at 10% per annum and were payable on October 21, 2023, subject to earlier conversion as described below. Among the accredited investors who participated in the Bridge Financing were Ali Kashani, our Chief Executive Officer, and Mark Tompkins, who holds greater than 5% of our common stock.</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Interest on the Bridge Notes would have been payable at maturity; however, upon conversion of the Bridge Notes as described below, accrued interest was forgiven. The Bridge Notes were secured by a second priority security interest on all of the assets of Serve and its subsidiary, subject to certain limited exceptions. This security interest terminated upon conversion of the Bridge Notes.</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offering of the Bridge Notes, and the grant of the Bridge Warrants and Bridge Broker Warrants (each as defined below) was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Upon the closing of the Merger and the Private Placement, the outstanding principal amount of the Bridge Notes was automatically converted into 937,961 shares of our common stock at a conversion price of $3.20 per share, and investors in the Bridge Notes received a warrant to purchase a number of shares of common stock equal to 50% of the number of shares of common stock into which the Bridge Notes were converted, at an exercise price of $3.20 per share for a term of three years (the “Bridge Warrants”). If at any time after the Registration Effectiveness Date (as defined below)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 The Bridge Warrants have weighted average anti-dilution protection, subject to customary exceptions.</w:t>
      </w:r>
    </w:p>
    <w:p>
      <w:pPr>
        <w:spacing w:after="0" w:line="3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connection with the sale of the Bridge Notes, Serve paid to Laidlaw &amp; Company (UK) Ltd. and Network 1 Financial Services, Inc. (collectively, the “Bridge Brokers”), each a U.S. registered broker-dealer, cash commissions of 8% of funds raised, or 4% in the case of funds raised from current officers, directors, and stockholders of Serve and their respective friends and family (“Insider Investors”), and agreed to cause us to issue to them, upon closing of the Merger and the Private Placement, warrants to purchase a number of shares of Serve’s common stock equal to 8% of the number of shares of common stock into which Bridge Notes, other than those purchased by Insider Investors, would convert at the closing of the Merger and Offering, with an exercise price per share of $3.20 and a term of three years (the “Bridge Broker Warrants”). The Bridge Broker Warrants have weighted average anti-dilution protection, subject to customary exceptions.</w:t>
      </w:r>
    </w:p>
    <w:p>
      <w:pPr>
        <w:spacing w:after="0" w:line="1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Bridge Brokers were paid an aggregate commission of $239,400 and were entitled to be issued Bridge Broker Warrants to purchase an aggregate of 74,662 shares of our common stock. Serve also reimbursed them $25,000 for their legal and other expenses incurred in connection with the Bridge Financing.</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agreed to indemnify the Bridge Brokers, to the fullest extent permitted by law, against certain liabilities that may be incurred in connection with the Bridge Notes, including certain civil liabilities under the Securities Act, and, where such indemnification is not available, to contribute to the payments the placement agents and its sub-agents may be required to make in respect of such liabilities.</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All descriptions of the Bridge Warrants and the Bridge Broker Warrants herein are qualified in their entirety by reference to the text thereof filed as exhibits hereto, which are incorporated herein by reference.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Reverse Merger</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On July 31, 2023, the Company, Acquisition Sub and Serve entered into the Merger Agreement. Pursuant to the terms of the Merger Agreement, on July 31, 2023, Acquisition Sub merged with and into Serve, with Serve continuing as the surviving corporation and our wholly owned subsidiary.</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a result of the Merger, we acquired the business of Serve, which designs, develops and operates an advanced, AI-powered robotics mobility platform, with last mile delivery in cities as its first application. See “</w:t>
      </w:r>
      <w:r>
        <w:rPr>
          <w:rFonts w:ascii="Times New Roman" w:cs="Times New Roman" w:eastAsia="Times New Roman" w:hAnsi="Times New Roman"/>
          <w:sz w:val="16"/>
          <w:szCs w:val="16"/>
          <w:i w:val="1"/>
          <w:iCs w:val="1"/>
          <w:color w:val="auto"/>
        </w:rPr>
        <w:t>Description of our Business</w:t>
      </w:r>
      <w:r>
        <w:rPr>
          <w:rFonts w:ascii="Times New Roman" w:cs="Times New Roman" w:eastAsia="Times New Roman" w:hAnsi="Times New Roman"/>
          <w:sz w:val="16"/>
          <w:szCs w:val="16"/>
          <w:color w:val="auto"/>
        </w:rPr>
        <w:t>” below</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At the time the certificate of merger reflecting the Merger was filed with the Secretary of State of Delaware, each of Serve’s shares of capital stock issued and outstanding immediately prior to the closing of the Merger was converted into the right to receive 0.8035 shares of our common stock (in the case of shares held by accredited investors), with the maximum number of shares of our common stock issuable to the former holders of Serve’s capital stock equal to 20,948,917 after adjustments due to rounding for fractional shares. Immediately prior to the Effective Time, an aggregate of 3,500,000 shares of Company common stock owned by our stockholders prior to the Merger were forfeited and canceled.</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pursuant to the Merger Agreement, (i) options to purchase 1,984,951 shares of Serve’s common stock issued and outstanding immediately prior to the closing of the Merger under Serve’s 2021 Stock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simple agreement for future equity totaling $15,551,953 were converted into 4,372,613 shares of our common stock.</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Description of Capital Stock</w:t>
      </w:r>
      <w:r>
        <w:rPr>
          <w:rFonts w:ascii="Times New Roman" w:cs="Times New Roman" w:eastAsia="Times New Roman" w:hAnsi="Times New Roman"/>
          <w:sz w:val="16"/>
          <w:szCs w:val="16"/>
          <w:color w:val="auto"/>
        </w:rPr>
        <w:t>” below for more information. The issuance of shares of our common stock, options, or warrants to purchase shares of our common stock, to Serve’s former security holders are collectively referred to as the “Share Conversion.”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Merger Agreement contained customary representations and warranties and pre- and post-closing covenants of each party and customary closing conditions.</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As a condition to the Merger, on July 31, 2023, we entered into indemnity agreements with our former officer and directors, pursuant to which we agreed to indemnify such former officer and directors for actions taken by them in their official capacities relating to the consideration, approval and consummation of the Merger and certain related transactions.</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Merger was treated as a recapitalization and reverse acquisition for us for financial reporting purposes. Serve is considered the acquirer for accounting purposes, and our historical financial statements before the Merger will be replaced with the historical financial statements of Serve before the Merger in future filings with the SEC. The Merger is intended to be treated as a tax-free reorganization under Section 368(a) of the Internal Revenue Code of 1986, as amended.</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and they are subject to further contractual restrictions on transfer as described below under “Shares Eligible for Future Sale.”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The Private Placement</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Immediately following the Effective Time of the Merger, we sold 3,183,671 shares of our common stock in a private placement offering pursuant to the Subscription Agreement by and between the Company and the purchasers of common stock (the “Subscription Agreement”) at a purchase price of $4.00 per share (the “Sale Price”) in multiple closings. The private placement offering is referred to herein as the “Private Placement.” We also issued 937,961 shares of our common stock to convert the outstanding principal and interest of outstanding Bridge Notes in connection with the consummation of the Merger.</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aggregate gross proceeds from the Private Placement were approximately $15.74 million (including the aggregate principal amount of Bridge Notes converted as described above, and before deducting placement agent fees and expenses of the Private Placement, which are estimated at $1.74 million).</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Offering, including the grant of the Placement Agent Warrants (as defined below), was exempt from registration under Section 4(a)(2) of the Securities Act and Rule 506(b) of Regulation D promulgated by the SEC thereunder. The common stock in the Private Placement was sold to “accredited investors,” as defined in Regulation D, and the Private Placement was conducted on a “reasonable best efforts” basis.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we issued to the holders of the Bridge Notes prior to their conversion, Bridge Warrants to purchase 468,971 shares of our common stock.</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connection with the Private Placement and subject to the closing of the Private Placement, we agreed to pay the placement agents, Aegis Capital Corp. and Network 1 Financial Services, Inc. (the “Placement Agents”), each a U.S. registered broker-dealer, a cash placement fee of 8% of the gross proceeds raised from investors in the Private Placement (or 4% of gross proceeds raised from Insider Investors) and to issue (a) to them warrants to purchase a number of shares of our common stock equal to 8% of the number of shares of common stock sold in the Private Placement (other than to Insider Investors), with a term expiring three years after the common stock begins to trade on Nasdaq or New York Stock Exchange (“NYSE”) and an exercise price of $4.00 per share (the “Placement Agent A Warrants”) and (b) to each of them warrants to purchase 125,000 shares of common stock with the same term as the Placement Agent A Warrants and an exercise price of $0.001 per share (the “Placement Agent B Warrants” and together with the Placement Agent A Warrants, the “Placement Agent Warrants”). We also agreed to pay certain expenses of the Placement Agents in connection with the Private Placement.</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a result of the foregoing, we paid the Placement Agents an aggregate commission of $687,925 (not including the commission paid in connection with the sale of the Bridge Notes) and issued to them Placement Agent A Warrants to purchase 122,307 shares of our common stock and Placement Agent B Warrants to purchase an aggregate of 250,000 shares of our common stock in connection with the closing of the Private Placement. We have also reimbursed the Placement Agents for approximately $60,000 of expenses incurred in connection with the Private Placement.</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Subject to certain customary exceptions, we have agreed to indemnify the Placement Agents to the fullest extent permitted by law against certain liabilities that may be incurred in connection with the Private Placement, including certain civil liabilities under the Securities Act, and, where such indemnification is not available, to contribute to the payments the Placement Agents and their sub-agents may be required to make in respect of such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(the “Registration Statement”), covering (i) the shares of our common stock issued in the Private Placement (including those issued upon conversion of the Bridge Notes); (ii) the shares of our common stock issuable upon exercise of the Bridge Warrants; (iii) the shares of our common stock issuable upon exercise of the Bridge Broker Warrants and the Placement Agent Warrants; (iv) the Merger Shares; and (v) 1,500,000 shares of our common stock held by our stockholders prior to the Merger ((i)-(v) collectively, the “Registrable Securities”). We also undertook to use our commercially reasonable efforts to ensure that such Registration Statement is declared effective within 120 calendar days after the final closing of the Private Placement.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48" w:name="page49"/>
    <w:bookmarkEnd w:id="48"/>
    <w:p>
      <w:pPr>
        <w:jc w:val="both"/>
        <w:ind w:left="2"/>
        <w:spacing w:after="0" w:line="257" w:lineRule="auto"/>
        <w:rPr>
          <w:sz w:val="20"/>
          <w:szCs w:val="20"/>
          <w:color w:val="auto"/>
        </w:rPr>
      </w:pPr>
      <w:r>
        <w:rPr>
          <w:rFonts w:ascii="Times New Roman" w:cs="Times New Roman" w:eastAsia="Times New Roman" w:hAnsi="Times New Roman"/>
          <w:sz w:val="16"/>
          <w:szCs w:val="16"/>
          <w:color w:val="auto"/>
        </w:rPr>
        <w:t>Subject to customary exceptions, if (i) we are late in filing the Registration Statement, (ii) the Registration Statement is not declared effective within 120 days after the final closing of the Private Placement (provided that such failure of the Registration Statement to be declared effective within one hundred twenty (120) calendar days is the result of any action or failure to act on the part of the Company) (the “Registration Effectiveness Date”), (iii) we fail to maintain the effectiveness of the Registration Statement, (iv) the holders of Registrable Securities cannot use the Registration Statement to resell the Registrable Securities for a period of more than 15 consecutive trading days (except for suspension of the use of the Registration Statement during certain Blackout Period (as defined below)), or (v) following the listing or inclusion for quotation on the OTC Markets, Nasdaq, the NYSE or the NYSE American, trading of our common stock is suspended or halted for more than three full, consecutive trading days ((i)-(v) collectively, “Registration Events”),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(1) any Registrable Securities removed from the Registration Statement in response to a comment from the staff of the SEC limiting the number of shares of common stock which may be included in the Registration Statement (a “Cutback Comment”), (2) any Registrable Securities that may be resold without manner of sale restrictions, current information requirements, volume limitations or other limitations under Rule 144 or another exemption from registration under the Securities Act, (3) any Registrable Securities excluded from a registration statement because a holder fails to provide information concerning the holder and the manner of distribution of the holder’s Registrable Securities that is required by SEC rules to be disclosed, and (4) any circumstance in which the SEC does not declare the Registration Statement effective on or before 120 days after the final closing of the Private Placement, and the reason for the SEC’s determination is that (a) the offering of any of the Registrable Securities constitutes a primary offering of securities by the Company, (b) Rule 415 of the Securities Act may not be relied upon for the registration of the resale of any or all of the Registrable Securities, and/or</w:t>
      </w:r>
    </w:p>
    <w:p>
      <w:pPr>
        <w:spacing w:after="0" w:line="6" w:lineRule="exact"/>
        <w:rPr>
          <w:sz w:val="20"/>
          <w:szCs w:val="20"/>
          <w:color w:val="auto"/>
        </w:rPr>
      </w:pPr>
    </w:p>
    <w:p>
      <w:pPr>
        <w:jc w:val="both"/>
        <w:ind w:left="2" w:hanging="2"/>
        <w:spacing w:after="0" w:line="258" w:lineRule="auto"/>
        <w:tabs>
          <w:tab w:leader="none" w:pos="22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of any Registrable Securities must be named as an underwriter and such holder does not consent to be so named in the Registration Statement. Notwithstanding the previous sentence, if the SEC does not declare the Registration Statement effective before the Registration Effectiveness Date, in certain circumstances we may still be liable for liquidated damages if we do not continue to use our commercially reasonable efforts at the first opportunity that is permitted by the SEC to register for resale all such Registrable Securities, using one or more registration statements that we are then entitled to use. Any cutback resulting from a Cutback Comment shall be applied to the Registrable Securities pro rata based on the total number of such shares held by or issuable to each holder thereof. Pursuant to the Registration Rights Agreement “Blackout Period” means, a period in which the Company determines that the registration or distribution of the Registrable Securities to be covered by such registration statement, would be seriously detrimental to the Company and its stockholders, commencing on the day the Company notifies the stockholders that they are required to suspend offers and sales of Registrable Securities and ending on the earlier of (i) the date on which the material non-public information resulting in the Blackout Period is disclosed to the public or ceases to be material and (ii) such time that the Company notifies the stockholders that sales pursuant to the registration statement may resume.</w:t>
      </w:r>
    </w:p>
    <w:p>
      <w:pPr>
        <w:spacing w:after="0" w:line="166" w:lineRule="exact"/>
        <w:rPr>
          <w:sz w:val="20"/>
          <w:szCs w:val="20"/>
          <w:color w:val="auto"/>
        </w:rPr>
      </w:pPr>
    </w:p>
    <w:p>
      <w:pPr>
        <w:jc w:val="both"/>
        <w:ind w:left="2"/>
        <w:spacing w:after="0" w:line="294" w:lineRule="auto"/>
        <w:rPr>
          <w:sz w:val="20"/>
          <w:szCs w:val="20"/>
          <w:color w:val="auto"/>
        </w:rPr>
      </w:pPr>
      <w:r>
        <w:rPr>
          <w:rFonts w:ascii="Times New Roman" w:cs="Times New Roman" w:eastAsia="Times New Roman" w:hAnsi="Times New Roman"/>
          <w:sz w:val="16"/>
          <w:szCs w:val="16"/>
          <w:color w:val="auto"/>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spacing w:after="0" w:line="138"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spacing w:after="0" w:line="35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CONDITION AND RESULTS OF OPERATIONS</w:t>
      </w:r>
    </w:p>
    <w:p>
      <w:pPr>
        <w:spacing w:after="0" w:line="18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in this prospectus. Some of the information contained in this discussion and analysis or set forth elsewhere in this prospectus, including information with respect to our plans and strategy for our business, includes forward-looking statements that involve risks and uncertainties as described under the heading “Special Note Regarding Forward-Looking Statements” elsewhere in this prospectus. Accordingly, you should review the disclosure under the heading “Risk Factors” in this prospectus for a discussion of important factors that could cause actual results to differ materially from the results described in or implied by the forward-looking statements contained in the following discussion and analysis.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On July 31, 2023, Patricia Acquisition Corp., Acquisition Sub, and Serve entered into a Merger Agreement. Pursuant to the terms of the Merger Agreement, on the Closing Date,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On the Closing Date, Serve’s predecessor was renamed Serve Operating Co.</w:t>
      </w:r>
    </w:p>
    <w:p>
      <w:pPr>
        <w:spacing w:after="0" w:line="15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 principles, the historical financial results of Serve, the accounting acquirer, prior to the Merger are considered our historical financial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discussion and analysis are organized as follows:</w:t>
      </w:r>
    </w:p>
    <w:p>
      <w:pPr>
        <w:spacing w:after="0" w:line="207" w:lineRule="exact"/>
        <w:rPr>
          <w:sz w:val="20"/>
          <w:szCs w:val="20"/>
          <w:color w:val="auto"/>
        </w:rPr>
      </w:pPr>
    </w:p>
    <w:p>
      <w:pPr>
        <w:ind w:left="880" w:hanging="293"/>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Executive Summary – Summary analysis of financial and other highlights to provide context for the discussion and analysis.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Results of Operations – An analysis of our financial results.</w:t>
      </w:r>
    </w:p>
    <w:p>
      <w:pPr>
        <w:spacing w:after="0" w:line="208" w:lineRule="exact"/>
        <w:rPr>
          <w:rFonts w:ascii="Times New Roman" w:cs="Times New Roman" w:eastAsia="Times New Roman" w:hAnsi="Times New Roman"/>
          <w:sz w:val="16"/>
          <w:szCs w:val="16"/>
          <w:color w:val="auto"/>
        </w:rPr>
      </w:pPr>
    </w:p>
    <w:p>
      <w:pPr>
        <w:ind w:left="880" w:right="20" w:hanging="293"/>
        <w:spacing w:after="0" w:line="297"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Liquidity, and Capital Resources – An analysis of changes in our balance sheets and cash flows and a discussion of our financial condition and potential sources of liquidity.</w:t>
      </w:r>
    </w:p>
    <w:p>
      <w:pPr>
        <w:spacing w:after="0" w:line="133" w:lineRule="exact"/>
        <w:rPr>
          <w:rFonts w:ascii="Times New Roman" w:cs="Times New Roman" w:eastAsia="Times New Roman" w:hAnsi="Times New Roman"/>
          <w:sz w:val="16"/>
          <w:szCs w:val="16"/>
          <w:color w:val="auto"/>
        </w:rPr>
      </w:pPr>
    </w:p>
    <w:p>
      <w:pPr>
        <w:ind w:left="880" w:right="20" w:hanging="293"/>
        <w:spacing w:after="0" w:line="297"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Critical Accounting Estimates – Accounting estimates that management believes are the most important to understanding the assumptions and judgments incorporated in our financial results and forecasts and involve a significant level of estimation uncertainty.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Serve Robotics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Serve is shaping the future of sustainable, self-driving delivery. We design, develop, and operate low-emissions robots that serve people in public spaces, starting with food delivery. Starting in 2017, our core technology was developed by our co-founders and a majority of our product and engineering team in San Francisco, California as a special project within Postmates, one of the pioneering food delivery startups in the United States. By the end of 2020, the team had developed a fleet of sidewalk robots that had successfully performed over 10,000 commercial deliveries for Postmates in California, augmenting Postmates’ fleet of human couriers. 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 time employees.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50" w:name="page51"/>
    <w:bookmarkEnd w:id="50"/>
    <w:p>
      <w:pPr>
        <w:jc w:val="both"/>
        <w:spacing w:after="0" w:line="265" w:lineRule="auto"/>
        <w:rPr>
          <w:sz w:val="20"/>
          <w:szCs w:val="20"/>
          <w:color w:val="auto"/>
        </w:rPr>
      </w:pPr>
      <w:r>
        <w:rPr>
          <w:rFonts w:ascii="Times New Roman" w:cs="Times New Roman" w:eastAsia="Times New Roman" w:hAnsi="Times New Roman"/>
          <w:sz w:val="16"/>
          <w:szCs w:val="16"/>
          <w:color w:val="auto"/>
        </w:rPr>
        <w:t>Because we started this project within a food delivery company, our team comes with a depth of combined expertise in food delivery, automation, and robotics. Our expertise positions us to service the growing on-demand delivery market, including food delivery, where approximately half of all deliveries are less than 2.5 miles and well-suited to delivery by sidewalk robots. We provide a robotic delivery experience that delights customers, improves reliability for merchants, and reduces traffic congestion and eliminates vehicle emissions. At scale, our delivery robots can complete deliveries at lower cost than human couriers, making on-demand delivery more affordable and accessible in areas we operate.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Developments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Convertible Promissory Notes Offering</w:t>
      </w: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At an initial closing on January 2, 2024 and subsequent closings on January 12, 2024, January 22, 2024 and January 26, 2024, we issued to certain accredited investors convertible promissory notes, for which the Company received an aggregate of $4.9 million in proceeds. The convertible promissory notes bear interest at a rate of 6.00% per year, compounded annually, due and payable upon request by each investor on or after the 12-month anniversary of the original issuance date of each note. The Company may not prepay or repay the notes in cash without the consent of the investors. Additional Convertible Promissory Notes may be sold up to an aggregate offering amount of $6.5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Payable – Related Party</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December 27, 2023, Serve issued a senior secured promissory note to its Chief Executive Officer for which Serve received $70,000 in proceeds. The note bore interest at 7.67% per annum. The agreement contained a clause that the terms would be updated if subsequent notes were issued at a more favorable term. Serve repaid the note on January 3,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Agreement</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On July 31, 2023, Patricia Acquisition Corp., Acquisition Sub, and Serve entered into the Merger Agreement. Pursuant to the terms of the Merger Agreement, on the Closing Date, Acquisition Sub merged with and into Serve, with Serve continuing as the surviving corporation and our wholly owned subsidiary.</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As a result of the Merger, we acquired the business of Serve, a leading autonomous sidewalk delivery company based in Redwood City, California. See “</w:t>
      </w:r>
      <w:r>
        <w:rPr>
          <w:rFonts w:ascii="Times New Roman" w:cs="Times New Roman" w:eastAsia="Times New Roman" w:hAnsi="Times New Roman"/>
          <w:sz w:val="16"/>
          <w:szCs w:val="16"/>
          <w:i w:val="1"/>
          <w:iCs w:val="1"/>
          <w:color w:val="auto"/>
        </w:rPr>
        <w:t>Description of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At the Effective Time, each of Serve’s shares of capital stock issued and outstanding immediately prior to the closing of the Merger was converted into the right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receive 0.8035 of a share of our common stock (in the case of shares held by accredited investors), with the maximum number of shares of our common stock issuable to the former holders of Serve’s capital stock equal to 20,948,917 after adjustments due to rounding for fractional shares. Immediately prior to the Effective Time, an aggregate of 3,500,000 shares of our common stock owned by our stockholders prior to the Merger were forfeited and canceled (the “Stock Forfeiture”).</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pursuant to the Merger Agreement, (i) options to purchase 1,984,951 shares of Serve’s common stock issued and outstanding immediately prior to the closing of the Merger under the Serve Plan were assumed and converted into options to purchase 1,594,800 shares of our common stock, (ii) warrants to purchase 160,323 shares of Serve’s Series Seed preferred stock issued and outstanding immediately prior to the closing of the Merger were assumed and converted into warrants to purchase 128,819 shares of our common stock, and (iii) warrants to purchase 17,314 shares of Serve’s common stock issued and outstanding immediately prior to the closing of the Merger were assumed and converted into warrants to purchase 13,911 shares of our common stock and (iv) SAFEs totaling $15,551,953 were converted into 4,372,613 shares of our common stock.</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i w:val="1"/>
          <w:iCs w:val="1"/>
          <w:color w:val="auto"/>
        </w:rPr>
        <w:t>Private Placement</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Following the Effective Time of the Merger, we sold 3,183,671 shares of our common stock pursuant to the Private Placement in multiple closings. We also issued 937,961 shares of our common stock to convert the outstanding principal and interest of outstanding Bridge Notes in connection with the consummation of the Merger.</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Each investor in the Private Placement was required to represent that, at the time of the applicable closing, it (i) has a substantive, pre-existing relationship with us, or has direct contact with us or the Placement Agents or other enumerated parties outside of the Private Placement and (ii) did not independently contact us as a result of general solicitation by means of this prospectus, any press release or any other public disclosure disclosing the material terms of the Private Placement.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Payable – Related Party</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June and July 2023, the Company issued a senior secured promissory note with its Chief Executive Officer for which the Company received $449,000 in proceeds. The note bore interest at 7.67% per annum and matured upon the Merger. The agreement contained a clause that the terms would be updated if subsequent notes were issued at a more favorable term. Accordingly, based on loans in July 2023, notes were issued that contained a 16% exit fee. Serve repaid the notes upon the Closing of the Merger.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Secured Subordinated Promissory Notes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July 6, 2023, Serve issued Secured Subordinated Promissory Notes (the “Promissory Notes”) to accredited investors in an aggregate principal loan amount of $750,000. Pursuant to the Promissory Notes, the loans accrued interest on the unpaid principal amount at a rate of 18.00% per annum, computed as simple interest. Each holder of the Promissory Notes was entitled to an exit fee equal to 16% of the stated principal amount of such holder’s Promissory Note, less the total amount of interest that accrued on such Promissory Note prior to the Closing of the Merger (the “Exit Fee”). Serve repaid the Promissory Notes and the Exit Fee upon the Closing of the Merger.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Outlook And Challenges Facing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a number of industry factors that affect our business which include, among others: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Overall Demand for Last Mile Delivery on Partner Platforms.</w:t>
      </w: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Customer Concentration.</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currently have a limited number of customers. Sales to Uber represented 50% of our revenues for the year ended December 31, 2022, and if Uber were to breach, cancel, or amend our agreement, it may have an outsized effect on our revenue, cash on hand, and profitability. Our business development team is actively pursuing new delivery and branding customers to diversify our customer base.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i w:val="1"/>
          <w:iCs w:val="1"/>
          <w:color w:val="auto"/>
        </w:rPr>
        <w:t>Inflation and Market Considerations; Availability of Materials, Labor &amp; Services.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 mile delivery as labor becomes more expensive and drives up the cost of delivery by humans.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Intellectual Property.</w:t>
      </w:r>
    </w:p>
    <w:p>
      <w:pPr>
        <w:spacing w:after="0" w:line="2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Supply Chain Constraints.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global supply shortage of electrical components, including semiconductor chips and other hardware components essential to the manufacturing and maintenance of our robots, continued to impact our supply chain throughout 2022. As a result, we experienced increases in our lead times and costs for certain components to build our robots. Although our supply chain normalized during 2023, we cannot be sure whether global supply chain shortages will impact our future robot build plans. In order to mitigate supply chain risks, we would need to incur higher costs to secure available inventory and place non-cancellable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Governmental and Regulatory Conditions.</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Future Prospects.</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anticipate that we will continue to experience operating losses in 2023 and 2024 as we seek to implement our long-term strategic plan, using the net proceeds from the Private Placement to accelerate our development through increased research and development spending, scale our robotic fleet, expand our sales and business development efforts, and increase our overall headcount in order to achieve efficiencies through scaled growth. Our goal over the next two years is to scale our operating fleet by a factor of 10 and expand our geographic coverage to new markets beyond our current operating area in Los Angeles. With such an increase, we anticipate proportional increases in capital costs, overhead, and operating expenses. We aim to initially achieve profitability in 2025, with increased profitability thereafter; however, doing so is dependent upon numerous factors, including the development of revenues, general business and economic conditions, and other risks and uncertainties, including those listed under the caption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revenue currently consists of (1) delivery revenues and (2) revenues from branding.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Cost of revenue consists of (1) robot costs (depreciation), (2) headcount from operations, and (3) software &amp; network related costs.</w:t>
      </w:r>
    </w:p>
    <w:p>
      <w:pPr>
        <w:spacing w:after="0" w:line="20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i w:val="1"/>
          <w:iCs w:val="1"/>
          <w:color w:val="auto"/>
        </w:rPr>
        <w:t>Operations</w:t>
      </w:r>
      <w:r>
        <w:rPr>
          <w:rFonts w:ascii="Times New Roman" w:cs="Times New Roman" w:eastAsia="Times New Roman" w:hAnsi="Times New Roman"/>
          <w:sz w:val="16"/>
          <w:szCs w:val="16"/>
          <w:color w:val="auto"/>
        </w:rPr>
        <w:t>. Operations expenses consist primarily of compensation and related costs for personnel, including stock-based compensation, employee benefits, and associated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travel costs. Operations expenses also include costs associated with software, networking, and facilities.</w:t>
      </w:r>
    </w:p>
    <w:p>
      <w:pPr>
        <w:spacing w:after="0" w:line="13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Research and development expenses consist primarily of compensation and related costs for personnel, including stock-based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 benefits, and costs associated with first generation robots and design, testing, and repair of our robots. We expense research and development expenses as incurred. As we continue to invest in developing our technology for new products, we expect research and development expenses to moderately increase.</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i w:val="1"/>
          <w:iCs w:val="1"/>
          <w:color w:val="auto"/>
        </w:rPr>
        <w:t>Sales and Marketing</w:t>
      </w:r>
      <w:r>
        <w:rPr>
          <w:rFonts w:ascii="Times New Roman" w:cs="Times New Roman" w:eastAsia="Times New Roman" w:hAnsi="Times New Roman"/>
          <w:sz w:val="16"/>
          <w:szCs w:val="16"/>
          <w:color w:val="auto"/>
        </w:rPr>
        <w:t>. Sales and marketing expenses consist primarily of compensation and related costs for personnel, including stock-based compensation, employee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benefits, and associated travel costs. Sales and marketing expenses also include costs associated with our support of business development efforts. We expense sales and marketing expenses as incurred. We expect sales and marketing expenses to increase in future periods as we increase our sales and expand our business development and marketing organization.</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i w:val="1"/>
          <w:iCs w:val="1"/>
          <w:color w:val="auto"/>
        </w:rPr>
        <w:t>General and Administrative</w:t>
      </w:r>
      <w:r>
        <w:rPr>
          <w:rFonts w:ascii="Times New Roman" w:cs="Times New Roman" w:eastAsia="Times New Roman" w:hAnsi="Times New Roman"/>
          <w:sz w:val="16"/>
          <w:szCs w:val="16"/>
          <w:color w:val="auto"/>
        </w:rPr>
        <w:t>. General and administrative expenses consist primarily of compensation and related costs for personnel, including stock-based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 benefits, and travel. In addition, general and administrative expenses include third-party consulting, legal, audit, and accounting services, allocations of overhead costs, such as rent, facilities, and information technology, and amortization of our intangible assets. We expect general and administrative expenses to increase in future periods due to additional legal, accounting, insurance, investor relations, and other costs associated with being a public company, as well as other costs associated with growing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consists of stated rates of interest on financing instruments, fees incurred related to financing instruments or accretion of debt discounts.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Fair Value of future equity obligations</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Changes in the fair value of the simple agreements for future equity (“SAFEs”) relate to updated assumptions and estimates are recognized within the statements of operations.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 net of other expenses, consists primarily of income generated from our interest-bearing deposit account.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For the three months ended September 30, 2023 and 2022, we generated revenues of $0.06 million and $0.03 million, respectively, and reported net loss of $7.65 million and $5.36 million, respectively.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54" w:name="page55"/>
    <w:bookmarkEnd w:id="54"/>
    <w:p>
      <w:pPr>
        <w:spacing w:after="0" w:line="294" w:lineRule="auto"/>
        <w:rPr>
          <w:sz w:val="20"/>
          <w:szCs w:val="20"/>
          <w:color w:val="auto"/>
        </w:rPr>
      </w:pPr>
      <w:r>
        <w:rPr>
          <w:rFonts w:ascii="Times New Roman" w:cs="Times New Roman" w:eastAsia="Times New Roman" w:hAnsi="Times New Roman"/>
          <w:sz w:val="16"/>
          <w:szCs w:val="16"/>
          <w:color w:val="auto"/>
        </w:rPr>
        <w:t>For the nine months ended September 30, 2023 and 2022, we generated revenues of $0.16 million and $0.06 million, respectively, and reported net loss of $17.75 million and $14.60 million, respectively.</w:t>
      </w:r>
    </w:p>
    <w:p>
      <w:pPr>
        <w:spacing w:after="0" w:line="13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For the year ended December 31, 2022 and the period from January 15, 2021 (inception) to December 31, 2021, we generated revenues of $0.11 million and $0.0 million, respectively, and reported net loss of $21.86 million and $21.67 million,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noted in our unaudited consolidated financial statements, as of September 30, 2023, we had an accumulated deficit of $61.27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Results of Operations for the Three Months Ended September 30, 2023 and 2022</w:t>
      </w:r>
    </w:p>
    <w:p>
      <w:pPr>
        <w:spacing w:after="0" w:line="21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The following table summarizes our operating results as reflected in our unaudited statements of operations during the three months ended September 30, 2023 and 2022, respectively, and provides information regarding the dollar and percentage increase (or decrease) during such periods.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4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3"/>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r>
      <w:tr>
        <w:trPr>
          <w:trHeight w:val="196"/>
        </w:trPr>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62,565</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33,333</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29,232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572,537</w:t>
            </w:r>
          </w:p>
        </w:tc>
        <w:tc>
          <w:tcPr>
            <w:tcW w:w="380" w:type="dxa"/>
            <w:vAlign w:val="bottom"/>
          </w:tcPr>
          <w:p>
            <w:pPr>
              <w:spacing w:after="0"/>
              <w:rPr>
                <w:sz w:val="18"/>
                <w:szCs w:val="18"/>
                <w:color w:val="auto"/>
              </w:rPr>
            </w:pPr>
          </w:p>
        </w:tc>
        <w:tc>
          <w:tcPr>
            <w:tcW w:w="9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341,517</w:t>
            </w:r>
          </w:p>
        </w:tc>
        <w:tc>
          <w:tcPr>
            <w:tcW w:w="200" w:type="dxa"/>
            <w:vAlign w:val="bottom"/>
          </w:tcPr>
          <w:p>
            <w:pPr>
              <w:spacing w:after="0"/>
              <w:rPr>
                <w:sz w:val="18"/>
                <w:szCs w:val="18"/>
                <w:color w:val="auto"/>
              </w:rPr>
            </w:pPr>
          </w:p>
        </w:tc>
        <w:tc>
          <w:tcPr>
            <w:tcW w:w="11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231,020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196"/>
        </w:trPr>
        <w:tc>
          <w:tcPr>
            <w:tcW w:w="4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loss</w:t>
            </w: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(509,972)</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(308,184)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(201,788)</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196"/>
        </w:trPr>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1,428,143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952,553</w:t>
            </w:r>
          </w:p>
        </w:tc>
        <w:tc>
          <w:tcPr>
            <w:tcW w:w="20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475,590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19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558,068</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681,434</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(123,366)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2,962,812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3,261,785</w:t>
            </w:r>
          </w:p>
        </w:tc>
        <w:tc>
          <w:tcPr>
            <w:tcW w:w="2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(298,973)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118,793</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120,537</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(1,744)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85"/>
        </w:trPr>
        <w:tc>
          <w:tcPr>
            <w:tcW w:w="492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top w:val="single" w:sz="8" w:color="CCEEFF"/>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5,067,816</w:t>
            </w:r>
          </w:p>
        </w:tc>
        <w:tc>
          <w:tcPr>
            <w:tcW w:w="22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5,016,309</w:t>
            </w:r>
          </w:p>
        </w:tc>
        <w:tc>
          <w:tcPr>
            <w:tcW w:w="22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51,507</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89"/>
              </w:rPr>
              <w:t>%</w:t>
            </w:r>
          </w:p>
        </w:tc>
      </w:tr>
      <w:tr>
        <w:trPr>
          <w:trHeight w:val="19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(5,577,788)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(5,324,493)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(253,295)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(2,068,184)</w:t>
            </w:r>
          </w:p>
        </w:tc>
        <w:tc>
          <w:tcPr>
            <w:tcW w:w="380" w:type="dxa"/>
            <w:vAlign w:val="bottom"/>
          </w:tcPr>
          <w:p>
            <w:pPr>
              <w:spacing w:after="0"/>
              <w:rPr>
                <w:sz w:val="18"/>
                <w:szCs w:val="18"/>
                <w:color w:val="auto"/>
              </w:rPr>
            </w:pPr>
          </w:p>
        </w:tc>
        <w:tc>
          <w:tcPr>
            <w:tcW w:w="9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(34,112)</w:t>
            </w:r>
          </w:p>
        </w:tc>
        <w:tc>
          <w:tcPr>
            <w:tcW w:w="200" w:type="dxa"/>
            <w:vAlign w:val="bottom"/>
          </w:tcPr>
          <w:p>
            <w:pPr>
              <w:spacing w:after="0"/>
              <w:rPr>
                <w:sz w:val="18"/>
                <w:szCs w:val="18"/>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(2,034,072)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5963%</w:t>
            </w:r>
          </w:p>
        </w:tc>
      </w:tr>
      <w:tr>
        <w:trPr>
          <w:trHeight w:val="201"/>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(7,645,972</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38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(5,358,605</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(2,287,367</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96"/>
        </w:trPr>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diluted</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18,528,262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6,871,200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common share - basic and diluted</w:t>
            </w:r>
          </w:p>
        </w:tc>
        <w:tc>
          <w:tcPr>
            <w:tcW w:w="12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(0.41)</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(0.78)</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774"/>
        </w:trPr>
        <w:tc>
          <w:tcPr>
            <w:tcW w:w="492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35" w:right="339" w:bottom="1440" w:gutter="0" w:footer="0" w:header="0"/>
        </w:sectPr>
      </w:pPr>
    </w:p>
    <w:bookmarkStart w:id="55" w:name="page56"/>
    <w:bookmarkEnd w:id="55"/>
    <w:p>
      <w:pPr>
        <w:jc w:val="both"/>
        <w:spacing w:after="0" w:line="275" w:lineRule="auto"/>
        <w:rPr>
          <w:sz w:val="20"/>
          <w:szCs w:val="20"/>
          <w:color w:val="auto"/>
        </w:rPr>
      </w:pPr>
      <w:r>
        <w:rPr>
          <w:rFonts w:ascii="Times New Roman" w:cs="Times New Roman" w:eastAsia="Times New Roman" w:hAnsi="Times New Roman"/>
          <w:sz w:val="16"/>
          <w:szCs w:val="16"/>
          <w:color w:val="auto"/>
        </w:rPr>
        <w:t>Revenues increased $0.03 million to $0.06 million for the three months ended September 30, 2023 from $0.03 million for the same period in 2022. The increase is due primarily to the larger fleet size and platform-level integration with Uber Eats. In 2022, we entered into a multi-year contract with Uber, pursuant to which we can deploy up to 2,000 robots on their platform.</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Cost of revenues increased $0.23 million to $0.57 million for the three months ended September 30, 2023, compared with $0.34 million for the same period in 2022, due primarily to the larger scale of the fleet operated.</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General and administrative expenses increased $0.48 million to $1.43 million for the three months ended September 30, 2023, from $0.95 million for the same period in 2022, due primarily to an increase in expenses for legal, audit, and accounting related to the reverse merger as well as increased facility costs.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Operations expenses decreased $0.12 million to $0.56 million for the three months ended September 30, 2023, from $0.68 million for the same period in 2022, due primarily to a reduction in workforce effective December 2022.</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Research and development expense, which represents 58% and 65% of our total operating expenses for the three months ended September 30, 2023, and 2022, respectively, decreased $0.30 million to $3.00 million for the three months ended September 30, 2023, from $3.30 million for the same period in 2022, due primarily to a reduction in workforce effective December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and marketing expenses stayed consistent at $0.12 million for the three months ended September 30, 2023.</w:t>
      </w:r>
    </w:p>
    <w:p>
      <w:pPr>
        <w:spacing w:after="0" w:line="2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Operating expenses increased $0.05 million to $5.07 million for the three months ended September 30, 2023 from $5.02 million for the same period in 2022, due primarily to an increase in costs associated with the reverse merger and facilities.</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Interest expense of $1.48 million for the three months ended September 30, 2023, is related to the debt from Silicon Valley Bank and the amortization of debt discount pertaining to the April Notes. Interest expense of .03 million for the three months ended September 30, 2022, is related to the Amortization of Debt Discount as the loan contract with Silicon Valley Bank was entered into in March 2022.</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change in fair value of the simple agreements for future equity (“SAFEs”) was an expense of $0.44 million for the three months ended September 30, 2023, compared with $0 for the three months ended September 30, 2022. The increase in expense was attributed to the underlying assumptions on the outstanding SAFEs.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Net losses were $7.65 million and $5.36 million for the three months ended September 30, 2023, and 2022, respectively. The increase in net loss was primarily attributable to an increase in other expenses, mainly the change in fair value of SAFEs, which was offset slightly by the decrease in overall operating costs.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i w:val="1"/>
          <w:iCs w:val="1"/>
          <w:color w:val="auto"/>
        </w:rPr>
        <w:t>Comparison of Results of Operations for the Nine Months Ended September 30, 2023 and 2022</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following table summarizes our operating results as reflected in our unaudited statements of operations during the nine months ended September 30, 2023 and 2022, respectively, and provides information regarding the dollar and percentage increase (or decrease) during such periods.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5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jc w:val="right"/>
              <w:ind w:right="85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3"/>
        </w:trPr>
        <w:tc>
          <w:tcPr>
            <w:tcW w:w="5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164,826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1,331,165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721,198</w:t>
            </w:r>
          </w:p>
        </w:tc>
        <w:tc>
          <w:tcPr>
            <w:tcW w:w="200" w:type="dxa"/>
            <w:vAlign w:val="bottom"/>
          </w:tcPr>
          <w:p>
            <w:pPr>
              <w:spacing w:after="0"/>
              <w:rPr>
                <w:sz w:val="18"/>
                <w:szCs w:val="18"/>
                <w:color w:val="auto"/>
              </w:rPr>
            </w:pPr>
          </w:p>
        </w:tc>
        <w:tc>
          <w:tcPr>
            <w:tcW w:w="11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609,967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196"/>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loss</w:t>
            </w: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(1,166,339)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(660,509)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(505,830)</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196"/>
        </w:trPr>
        <w:tc>
          <w:tcPr>
            <w:tcW w:w="5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3,414,949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2,666,005</w:t>
            </w:r>
          </w:p>
        </w:tc>
        <w:tc>
          <w:tcPr>
            <w:tcW w:w="20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748,944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1,672,403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1,555,841</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116,562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7,171,446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9,275,252</w:t>
            </w:r>
          </w:p>
        </w:tc>
        <w:tc>
          <w:tcPr>
            <w:tcW w:w="2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(2,103,806)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481,511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398,635</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82,876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5"/>
        </w:trPr>
        <w:tc>
          <w:tcPr>
            <w:tcW w:w="512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12,740,309</w:t>
            </w:r>
          </w:p>
        </w:tc>
        <w:tc>
          <w:tcPr>
            <w:tcW w:w="22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13,895,733</w:t>
            </w:r>
          </w:p>
        </w:tc>
        <w:tc>
          <w:tcPr>
            <w:tcW w:w="22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(1,155,424</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89"/>
              </w:rPr>
              <w:t>%</w:t>
            </w: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(13,906,648)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(14,556,242)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649,594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(3,843,702)</w:t>
            </w:r>
          </w:p>
        </w:tc>
        <w:tc>
          <w:tcPr>
            <w:tcW w:w="200" w:type="dxa"/>
            <w:vAlign w:val="bottom"/>
          </w:tcPr>
          <w:p>
            <w:pPr>
              <w:spacing w:after="0"/>
              <w:rPr>
                <w:sz w:val="18"/>
                <w:szCs w:val="18"/>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(44,522)</w:t>
            </w:r>
          </w:p>
        </w:tc>
        <w:tc>
          <w:tcPr>
            <w:tcW w:w="200" w:type="dxa"/>
            <w:vAlign w:val="bottom"/>
          </w:tcPr>
          <w:p>
            <w:pPr>
              <w:spacing w:after="0"/>
              <w:rPr>
                <w:sz w:val="18"/>
                <w:szCs w:val="18"/>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(3,799,180)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8533%</w:t>
            </w:r>
          </w:p>
        </w:tc>
      </w:tr>
      <w:tr>
        <w:trPr>
          <w:trHeight w:val="201"/>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(17,750,350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(14,600,764</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(3,149,586</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96"/>
        </w:trPr>
        <w:tc>
          <w:tcPr>
            <w:tcW w:w="5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diluted</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10,674,991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6,990,773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6"/>
        </w:trPr>
        <w:tc>
          <w:tcPr>
            <w:tcW w:w="51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common share - basic and diluted</w:t>
            </w: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(1.66)</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(2.09)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
        </w:trPr>
        <w:tc>
          <w:tcPr>
            <w:tcW w:w="5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Revenues increased $0.10 million to $0.16 million for the nine months ended September 30, 2023 from $0.06 million for the same period in 2022. The increase is due primarily to the larger fleet size and platform-level integration with Uber Eats. In 2022, we entered into a multi-year contract with Uber, pursuant to which we can deploy up to 2,000 robots on their platform.</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Cost of revenues increased $0.61 million to $1.33 million for the nine months ended September 30, 2023, compared with $0.72 million for the same period in 2022, due primarily to the larger scale of the fleet operated.</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General and administrative expenses increased $0.75 million to $3.41 million for the nine months ended September 30, 2023, from $2.67 million for the same period in 2022, due primarily to an increase in expenses for legal, audit, and accounting related to the reverse merger as well as increased facility costs.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Operations expenses increased $0.12 million to $1.67 million for the nine months ended September 30, 2023, from $1.56 million for the same period in 2022, due primarily to servicing the larger scale of the fleet.</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Research and development expense, which represents 56% and 67% of our total operating expenses for the nine months ended September 30, 2023, and 2022, respectively, decreased $2.10 million to $7.17 million for the nine months ended September 30, 2023, from $9.28 million for the same period in 2022, due primarily to a reduction in workforce effective December 2022.</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Sales and marketing expenses increased $0.08 million to $0.48 million for the nine months ended September 30, 2023, compared with $0.40 million in the same period in 2022, due primarily to an increase in headcount and public relations spend.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57" w:name="page58"/>
    <w:bookmarkEnd w:id="57"/>
    <w:p>
      <w:pPr>
        <w:jc w:val="both"/>
        <w:spacing w:after="0" w:line="294" w:lineRule="auto"/>
        <w:rPr>
          <w:sz w:val="20"/>
          <w:szCs w:val="20"/>
          <w:color w:val="auto"/>
        </w:rPr>
      </w:pPr>
      <w:r>
        <w:rPr>
          <w:rFonts w:ascii="Times New Roman" w:cs="Times New Roman" w:eastAsia="Times New Roman" w:hAnsi="Times New Roman"/>
          <w:sz w:val="16"/>
          <w:szCs w:val="16"/>
          <w:color w:val="auto"/>
        </w:rPr>
        <w:t>Operating expenses decreased $1.16 million to $12.74 million for the nine months ended September 30, 2023 from $13.90 million for the same period in 2022, primarily due to the reduction in workforce effective December 2022.</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Interest expense of $2.02 million for the nine months ended September 30, 2023, is related to the debt from Silicon Valley Bank and amortization of debt discount pertaining to the April Notes. Interest expense of $0.04 million for the nine months ended September 30, 2022, is related to the amortization of debt discount as the loan contract with Silicon Valley Bank was entered into in March 2022.</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The change in fair value of the simple agreements for future equity (“SAFEs”) was an expense of $1.67 million for the nine months ended September 30, 2023, compared with other income of $0.04 for the nine months ended September 30, 2022. The increase in expense was attributed to the underlying assumptions on the outstanding SAFEs.</w:t>
      </w:r>
    </w:p>
    <w:p>
      <w:pPr>
        <w:spacing w:after="0" w:line="3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Net losses were $17.75 million and $14.60 million for the nine months ended September 30, 2023, and 2022, respectively. The increase in net loss was primarily attributable to an increase in other expenses, mainly the change in fair value of SAFEs, which was offset slightly by the decrease in overall operating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Results of Operations for the Year Ended December 31, 2022 and Period from January 15, 2021 (inception) to December 31, 2021</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following table summarizes our operating results as reflected in our statements of operations during the year ended December 31, 2022 and the period from January 15, 2021 (inception) to December 31, 2021, respectively, and provides information regarding the dollar and percentage increase (or decrease) during such periods.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January 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3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Pr>
          <w:p>
            <w:pPr>
              <w:spacing w:after="0"/>
              <w:rPr>
                <w:sz w:val="17"/>
                <w:szCs w:val="17"/>
                <w:color w:val="auto"/>
              </w:rPr>
            </w:pPr>
          </w:p>
        </w:tc>
        <w:tc>
          <w:tcPr>
            <w:tcW w:w="118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(inception) to</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18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5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107,819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107,819</w:t>
            </w:r>
          </w:p>
        </w:tc>
        <w:tc>
          <w:tcPr>
            <w:tcW w:w="100" w:type="dxa"/>
            <w:vAlign w:val="bottom"/>
            <w:shd w:val="clear" w:color="auto" w:fill="CCEEFF"/>
          </w:tcPr>
          <w:p>
            <w:pPr>
              <w:spacing w:after="0"/>
              <w:rPr>
                <w:sz w:val="17"/>
                <w:szCs w:val="17"/>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1,148,426</w:t>
            </w:r>
          </w:p>
        </w:tc>
        <w:tc>
          <w:tcPr>
            <w:tcW w:w="80" w:type="dxa"/>
            <w:vAlign w:val="bottom"/>
          </w:tcPr>
          <w:p>
            <w:pPr>
              <w:spacing w:after="0"/>
              <w:rPr>
                <w:sz w:val="18"/>
                <w:szCs w:val="18"/>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1,148,426</w:t>
            </w:r>
          </w:p>
        </w:tc>
        <w:tc>
          <w:tcPr>
            <w:tcW w:w="100" w:type="dxa"/>
            <w:vAlign w:val="bottom"/>
          </w:tcPr>
          <w:p>
            <w:pPr>
              <w:spacing w:after="0"/>
              <w:rPr>
                <w:sz w:val="18"/>
                <w:szCs w:val="18"/>
                <w:color w:val="auto"/>
              </w:rPr>
            </w:pPr>
          </w:p>
        </w:tc>
      </w:tr>
      <w:tr>
        <w:trPr>
          <w:trHeight w:val="196"/>
        </w:trPr>
        <w:tc>
          <w:tcPr>
            <w:tcW w:w="58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loss</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(1,040,607)</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(1,040,607)</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3,786,124</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2,465,570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1,320,554</w:t>
            </w:r>
          </w:p>
        </w:tc>
        <w:tc>
          <w:tcPr>
            <w:tcW w:w="100" w:type="dxa"/>
            <w:vAlign w:val="bottom"/>
          </w:tcPr>
          <w:p>
            <w:pPr>
              <w:spacing w:after="0"/>
              <w:rPr>
                <w:sz w:val="17"/>
                <w:szCs w:val="17"/>
                <w:color w:val="auto"/>
              </w:rPr>
            </w:pPr>
          </w:p>
        </w:tc>
      </w:tr>
      <w:tr>
        <w:trPr>
          <w:trHeight w:val="19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2,035,063</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924,501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1,110,562</w:t>
            </w:r>
          </w:p>
        </w:tc>
        <w:tc>
          <w:tcPr>
            <w:tcW w:w="100" w:type="dxa"/>
            <w:vAlign w:val="bottom"/>
            <w:shd w:val="clear" w:color="auto" w:fill="CCEEFF"/>
          </w:tcPr>
          <w:p>
            <w:pPr>
              <w:spacing w:after="0"/>
              <w:rPr>
                <w:sz w:val="17"/>
                <w:szCs w:val="17"/>
                <w:color w:val="auto"/>
              </w:rPr>
            </w:pP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13,565,765</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7,092,628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6,473,137</w:t>
            </w:r>
          </w:p>
        </w:tc>
        <w:tc>
          <w:tcPr>
            <w:tcW w:w="100" w:type="dxa"/>
            <w:vAlign w:val="bottom"/>
          </w:tcPr>
          <w:p>
            <w:pPr>
              <w:spacing w:after="0"/>
              <w:rPr>
                <w:sz w:val="17"/>
                <w:szCs w:val="17"/>
                <w:color w:val="auto"/>
              </w:rPr>
            </w:pPr>
          </w:p>
        </w:tc>
      </w:tr>
      <w:tr>
        <w:trPr>
          <w:trHeight w:val="22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525,494</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139,664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385,830</w:t>
            </w:r>
          </w:p>
        </w:tc>
        <w:tc>
          <w:tcPr>
            <w:tcW w:w="100" w:type="dxa"/>
            <w:vAlign w:val="bottom"/>
            <w:shd w:val="clear" w:color="auto" w:fill="CCEEFF"/>
          </w:tcPr>
          <w:p>
            <w:pPr>
              <w:spacing w:after="0"/>
              <w:rPr>
                <w:sz w:val="19"/>
                <w:szCs w:val="19"/>
                <w:color w:val="auto"/>
              </w:rPr>
            </w:pPr>
          </w:p>
        </w:tc>
      </w:tr>
      <w:tr>
        <w:trPr>
          <w:trHeight w:val="181"/>
        </w:trPr>
        <w:tc>
          <w:tcPr>
            <w:tcW w:w="5800" w:type="dxa"/>
            <w:vAlign w:val="bottom"/>
            <w:tcBorders>
              <w:top w:val="single" w:sz="8" w:color="CCEEFF"/>
            </w:tcBorders>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5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19,912,446</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10,622,363</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9,290,083</w:t>
            </w:r>
          </w:p>
        </w:tc>
        <w:tc>
          <w:tcPr>
            <w:tcW w:w="100" w:type="dxa"/>
            <w:vAlign w:val="bottom"/>
            <w:tcBorders>
              <w:top w:val="single" w:sz="8" w:color="CCEEFF"/>
            </w:tcBorders>
          </w:tcPr>
          <w:p>
            <w:pPr>
              <w:spacing w:after="0"/>
              <w:rPr>
                <w:sz w:val="15"/>
                <w:szCs w:val="15"/>
                <w:color w:val="auto"/>
              </w:rPr>
            </w:pPr>
          </w:p>
        </w:tc>
      </w:tr>
      <w:tr>
        <w:trPr>
          <w:trHeight w:val="196"/>
        </w:trPr>
        <w:tc>
          <w:tcPr>
            <w:tcW w:w="58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(20,953,053)</w:t>
            </w: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(10,622,363)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(10,330,690)</w:t>
            </w:r>
          </w:p>
        </w:tc>
      </w:tr>
      <w:tr>
        <w:trPr>
          <w:trHeight w:val="196"/>
        </w:trPr>
        <w:tc>
          <w:tcPr>
            <w:tcW w:w="58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(636,330)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(636,330)</w:t>
            </w: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simple agreements for future equity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(265,744)</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(11,043,155)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10,777,411</w:t>
            </w:r>
          </w:p>
        </w:tc>
      </w:tr>
      <w:tr>
        <w:trPr>
          <w:trHeight w:val="196"/>
        </w:trPr>
        <w:tc>
          <w:tcPr>
            <w:tcW w:w="58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(902,074)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(11,043,155)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10,141,081</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(21,855,127)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(21,665,518)</w:t>
            </w:r>
          </w:p>
        </w:tc>
        <w:tc>
          <w:tcPr>
            <w:tcW w:w="2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(189,609)</w:t>
            </w:r>
          </w:p>
        </w:tc>
      </w:tr>
      <w:tr>
        <w:trPr>
          <w:trHeight w:val="196"/>
        </w:trPr>
        <w:tc>
          <w:tcPr>
            <w:tcW w:w="58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6,896,769</w:t>
            </w:r>
          </w:p>
        </w:tc>
        <w:tc>
          <w:tcPr>
            <w:tcW w:w="80" w:type="dxa"/>
            <w:vAlign w:val="bottom"/>
          </w:tcPr>
          <w:p>
            <w:pPr>
              <w:spacing w:after="0"/>
              <w:rPr>
                <w:sz w:val="18"/>
                <w:szCs w:val="18"/>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5,622,548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1"/>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common share - basic and diluted</w:t>
            </w: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8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Revenues were $0.11 million for the year ended December 31, 2022, compared with $0 for the year ended December 31, 2021. Our 2022 revenue was attributable primarily to delivery revenues and revenues from branding.</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Cost of revenues was $1.15 million for the year ended December 31, 2022, compared with $0 for the year ended December 31, 2021. Cost of revenues in 2022 was attributable to robot costs (depreciation), headcount from operations, and software &amp; network related costs.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8" w:name="page59"/>
    <w:bookmarkEnd w:id="58"/>
    <w:p>
      <w:pPr>
        <w:jc w:val="both"/>
        <w:spacing w:after="0" w:line="287" w:lineRule="auto"/>
        <w:rPr>
          <w:sz w:val="20"/>
          <w:szCs w:val="20"/>
          <w:color w:val="auto"/>
        </w:rPr>
      </w:pPr>
      <w:r>
        <w:rPr>
          <w:rFonts w:ascii="Times New Roman" w:cs="Times New Roman" w:eastAsia="Times New Roman" w:hAnsi="Times New Roman"/>
          <w:sz w:val="16"/>
          <w:szCs w:val="16"/>
          <w:color w:val="auto"/>
        </w:rPr>
        <w:t>General and administrative expense increased $1.32 million to $3.79 million for the year ended December 31, 2022 from $2.47 million for the year ended December 31, 2021, due primarily to an increase in costs related to administrative functions, including finance and accounting, legal, and human resources, as well as general corporate expenses.</w:t>
      </w:r>
    </w:p>
    <w:p>
      <w:pPr>
        <w:spacing w:after="0" w:line="3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Operations expense increased $1.11 million to $2.04 million for the year ended December 31, 2022, compared with $0.92 million for the year ended December 31, 2021, due primarily to servicing the larger scale of the fleet.</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Research and development expense, which represented 68.1% and 66.8% of total operating expenses for the year ended December 31, 2022 and 2021, respectively, increased $6.47 million to $13.57 million for the year ended December 31, 2022 from $7.09 million for the year ended December 31, 2021, due primarily to an increase in personnel expenses for product design, hardware, and software.</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Sales and marketing expenses increased $0.39 million to $0.53 million for the year ended December 31, 2022 from $0.14 million for the year ended December 31, 2021, due primarily to an increase in personnel costs and public relations expenses.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Operating expense increased $9.29 million to $19.91 million for the year ended December 31, 2022 from $10.62 million for the year ended December 31, 2021, due primarily to an increase in robot costs (depreciation and lease robots), headcount from operations and software &amp; network related costs.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Interest expense consisted of $0.64 million for loan and equipment financing for the year ended December 31, 2022. We had no interest expense for the year ended December 31, 2021.</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change in fair value of future equity obligations decreased by $10.78 million to $0.27 million for the year ended December 31, 2022, compared to $11.04 million for the year ended December 31, 2021 primarily due to the revaluation of SAFEs immediately prior to conversion into preferred stock.</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Other Expenses were $0.90 million and $11.04 million for each of the years ended December 31, 2022 and 2021, respectively primarily due to the conversion of SAFEs into preferred stock.</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Net loss increased $0.19 million to $21.86 million for the year ended December 31, 2022 from $21.67 million for the same period in 2021. The increase in net loss was primarily attributed to a loss of $10.33 million from operations and cost of revenues which was offset by a gain of $10.14 million in other income (expense) primarily due to the revaluation of SAFEs immediately prior to conversion into preferred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Key metrics</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regularly review the following key business metrics to evaluate our business, measure our performance, identify trends affecting our business, formulate business plans, and make strategic decisions: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1"/>
        </w:trPr>
        <w:tc>
          <w:tcPr>
            <w:tcW w:w="86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Key Metrics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Daily Active Robots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Daily Supply Hours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i w:val="1"/>
          <w:iCs w:val="1"/>
          <w:color w:val="auto"/>
        </w:rPr>
        <w:t xml:space="preserve">Daily Active Robots: </w:t>
      </w:r>
      <w:r>
        <w:rPr>
          <w:rFonts w:ascii="Times New Roman" w:cs="Times New Roman" w:eastAsia="Times New Roman" w:hAnsi="Times New Roman"/>
          <w:sz w:val="16"/>
          <w:szCs w:val="16"/>
          <w:color w:val="auto"/>
        </w:rPr>
        <w:t>We define daily active robots as the average number of robots performing daily deliveries during the period. Daily active robots reflect our operation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spacing w:after="0" w:line="1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i w:val="1"/>
          <w:iCs w:val="1"/>
          <w:color w:val="auto"/>
        </w:rPr>
        <w:t xml:space="preserve">Daily Supply Hours: </w:t>
      </w:r>
      <w:r>
        <w:rPr>
          <w:rFonts w:ascii="Times New Roman" w:cs="Times New Roman" w:eastAsia="Times New Roman" w:hAnsi="Times New Roman"/>
          <w:sz w:val="16"/>
          <w:szCs w:val="16"/>
          <w:color w:val="auto"/>
        </w:rPr>
        <w:t>We define daily supply hours as the average number of hours our robots are ready to accept offers and perform daily deliveries during the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Net cash generated by financing activities is our primary source of liquidity. As of September 30, 2023, we had current assets of $5.12 million and current liabilities of $4.86 million, which included $3.50 million in cash and cash equivalents.</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plan to raise additional working capital to fund operations through the issuance of stock to investors and/or issuance of notes payable. We believe, but there is no assurance, that the net proceeds of approximately $ million from this offering and approximately $ million from our existing cash and cash equivalents will be sufficient to fund our current operating plans through .</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ability to continue as a going concern after that time will be dependent on our ability to raise adequate capital to fund operating losses until we can generate liquidity from our business operations. To the extent sufficient financing is not available, we may not be able to, or may be delayed in, developing our offerings and meeting our obligations. We will continue to evaluate our projected expenditures relative to our available cash and evaluate financing alternatives in order to satisfy our working capital and other cash requirements.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2023, our cash and cash equivalents were $3.50 million. The following table shows a summary of our cash flows for the periods presented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9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from used in operating activities</w:t>
            </w:r>
          </w:p>
        </w:tc>
        <w:tc>
          <w:tcPr>
            <w:tcW w:w="2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(12.29)</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(16.98)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4.69</w:t>
            </w:r>
          </w:p>
        </w:tc>
      </w:tr>
      <w:tr>
        <w:trPr>
          <w:trHeight w:val="196"/>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Cash from investing activities</w:t>
            </w:r>
          </w:p>
        </w:tc>
        <w:tc>
          <w:tcPr>
            <w:tcW w:w="2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0.47</w:t>
            </w:r>
          </w:p>
        </w:tc>
      </w:tr>
      <w:tr>
        <w:trPr>
          <w:trHeight w:val="19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from financing activities</w:t>
            </w:r>
          </w:p>
        </w:tc>
        <w:tc>
          <w:tcPr>
            <w:tcW w:w="2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13.08</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14.09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Net cash used in operating activities was $12.29 million and $16.98 million for the nine months ended September 30, 2023, and 2022, respectively. The decrease of $4.69 million was attributable primarily to reduction in inventory purchases in the first half of 2023, reduction in force effective December 1, 2022, stabilization of costs for general operations, and non-cash activity in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Net cash used in investing activities was $0 and $0.47 million for the nine months ended September 30, 2023, and 2022, respectively. Cash used in investing activities in the nine months ended September 30, 2022 was primarily attributable to security deposits for leased office space and equipment financing.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Net cash provided by financing activities was $13.08 million and $14.09 million for the nine months ended September 30, 2023, and 2022, respectively. In 2023, the Company received net proceeds from the Private Placement of $10.0 million, $2.7 million from SAFEs, and $4.00 million from notes, partially offset by repayments of the lease liability and notes. In 2022, the Company received $10.6 million from SAFEs and $2.5 million from notes.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5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3"/>
        </w:trPr>
        <w:tc>
          <w:tcPr>
            <w:tcW w:w="5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0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23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(21,402,786)</w:t>
            </w: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(10,709,450)</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(10,693,336)</w:t>
            </w:r>
          </w:p>
        </w:tc>
      </w:tr>
      <w:tr>
        <w:trPr>
          <w:trHeight w:val="196"/>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(4,060,962)</w:t>
            </w:r>
          </w:p>
        </w:tc>
        <w:tc>
          <w:tcPr>
            <w:tcW w:w="3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(258,732)</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(3,802,230)</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20,213,606</w:t>
            </w:r>
          </w:p>
        </w:tc>
        <w:tc>
          <w:tcPr>
            <w:tcW w:w="3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18,934,043</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1,279,563</w:t>
            </w:r>
          </w:p>
        </w:tc>
        <w:tc>
          <w:tcPr>
            <w:tcW w:w="80" w:type="dxa"/>
            <w:vAlign w:val="bottom"/>
            <w:shd w:val="clear" w:color="auto" w:fill="CCEEFF"/>
          </w:tcPr>
          <w:p>
            <w:pPr>
              <w:spacing w:after="0"/>
              <w:rPr>
                <w:sz w:val="19"/>
                <w:szCs w:val="19"/>
                <w:color w:val="auto"/>
              </w:rPr>
            </w:pPr>
          </w:p>
        </w:tc>
      </w:tr>
      <w:tr>
        <w:trPr>
          <w:trHeight w:val="181"/>
        </w:trPr>
        <w:tc>
          <w:tcPr>
            <w:tcW w:w="524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20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jc w:val="right"/>
              <w:ind w:right="5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(5,250,142</w:t>
            </w:r>
          </w:p>
        </w:tc>
        <w:tc>
          <w:tcPr>
            <w:tcW w:w="220" w:type="dxa"/>
            <w:vAlign w:val="bottom"/>
            <w:tcBorders>
              <w:top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3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7,965,861</w:t>
            </w: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(13,216,003</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5"/>
        </w:trPr>
        <w:tc>
          <w:tcPr>
            <w:tcW w:w="5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Net cash used in operating activities was $21.40 million and $10.71 million for the years ended December 31, 2022 and 2021, respectively. The increase of $10.69 million was attributable primarily to increase in operating expenses including headcount &amp; personnel costs, research and development, and support to revenue producing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Net cash used in investing activities was $4.06 million for the year ended December 31, 2022 and net cash provided by investing activities was $0.26 million for the year ended December 31, 2021. The $3.80 million change in cash used in investing activities was attributable primarily to the increase in property and equipment for second generation robots.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Net cash provided by financing activities was $20.21 million and $18.93 million for the years ended December 31, 2022 and 2021, respectively. The increase of $1.28 million was attributable primarily to proceeds from SAFEs and proceeds from Silicon Valley Bank loan.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Indebtedness</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In March 2022, we entered into a term loan with Silicon Valley Bank for gross proceeds of $2.50 million with a maturity date of March 1, 2025. The loan accrues interest at the greater of 3.25% or prime rate. Principal payments commenced on October 1, 2022, and the loan is repayable in 30 installments of principal and accrued interest.</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also entered into an equipment financing lease agreement with Farnam in June 2022, commencing November 2022, for the cost of building robots, calling for 24 monthly payments of approximately $0.19 million based on an expected total cost of $4.46 million of robot parts and manufacturing costs. In December 2023, the agreement was modified for three monthly payments of approximately $0.03 million and 12 monthly payments of approximately $0.19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 and Commitments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our significant contractual obligations as of September 30,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Less</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Less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Period of</w:t>
            </w:r>
          </w:p>
        </w:tc>
        <w:tc>
          <w:tcPr>
            <w:tcW w:w="10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than</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than</w:t>
            </w:r>
          </w:p>
        </w:tc>
        <w:tc>
          <w:tcPr>
            <w:tcW w:w="14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Years</w:t>
            </w: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1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lease obligations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139,077</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6"/>
              </w:rPr>
              <w:t>742,759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881,836</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Loan Financing Facility</w:t>
            </w:r>
          </w:p>
        </w:tc>
        <w:tc>
          <w:tcPr>
            <w:tcW w:w="14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7"/>
                <w:szCs w:val="17"/>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100" w:type="dxa"/>
            <w:vAlign w:val="bottom"/>
          </w:tcPr>
          <w:p>
            <w:pPr>
              <w:spacing w:after="0"/>
              <w:rPr>
                <w:sz w:val="17"/>
                <w:szCs w:val="17"/>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Equipment Financing Facility</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2,081,882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337,087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2,418,969</w:t>
            </w:r>
          </w:p>
        </w:tc>
        <w:tc>
          <w:tcPr>
            <w:tcW w:w="100" w:type="dxa"/>
            <w:vAlign w:val="bottom"/>
            <w:shd w:val="clear" w:color="auto" w:fill="CCEEFF"/>
          </w:tcPr>
          <w:p>
            <w:pPr>
              <w:spacing w:after="0"/>
              <w:rPr>
                <w:sz w:val="19"/>
                <w:szCs w:val="19"/>
                <w:color w:val="auto"/>
              </w:rPr>
            </w:pPr>
          </w:p>
        </w:tc>
      </w:tr>
      <w:tr>
        <w:trPr>
          <w:trHeight w:val="185"/>
        </w:trPr>
        <w:tc>
          <w:tcPr>
            <w:tcW w:w="46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3,220,959</w:t>
            </w: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1,579,846</w:t>
            </w: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4,800,805</w:t>
            </w:r>
          </w:p>
        </w:tc>
        <w:tc>
          <w:tcPr>
            <w:tcW w:w="100" w:type="dxa"/>
            <w:vAlign w:val="bottom"/>
            <w:tcBorders>
              <w:top w:val="single" w:sz="8" w:color="CCEEFF"/>
            </w:tcBorders>
          </w:tcPr>
          <w:p>
            <w:pPr>
              <w:spacing w:after="0"/>
              <w:rPr>
                <w:sz w:val="16"/>
                <w:szCs w:val="16"/>
                <w:color w:val="auto"/>
              </w:rPr>
            </w:pPr>
          </w:p>
        </w:tc>
      </w:tr>
    </w:tbl>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December 31, 2021, the company entered into a strategic supply agreement with a manufacturer of component parts used for the Company’s robot assets. The agreement calls for a minimum of $2.30 million in purchases over a two-year period ending December 2023. At the end of the two-year period, the vendor may invoice the Company for any shortfall in orders.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minimum spend agreements related to simulation software and storage services. The purchase commitments extend for a period of two to three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Transactions</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consolidated financial statements and the related notes thereto included in this prospectus are prepared in accordance with United States generally accepted accounting principles. The preparation of consolidated financial statements also requires us to make estimates and assumptions that affect the reported amounts of assets, liabilities, revenue, costs and expenses, and related disclosures. These estimates are developed based on historical experience and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 and cash flows will be affected. We believe that the accounting policies described below involve a greater degree of judgment and complexity. Accordingly, these are the estimates we believe are most critical to aid in fully understanding and evaluating our consolidated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Company accounts for revenue in accordance with ASC 606 – Revenue from Contracts with Customers (“ASC 606”). The Company determines revenue recognition through the following steps:</w:t>
      </w:r>
    </w:p>
    <w:p>
      <w:pPr>
        <w:spacing w:after="0" w:line="138" w:lineRule="exact"/>
        <w:rPr>
          <w:sz w:val="20"/>
          <w:szCs w:val="20"/>
          <w:color w:val="auto"/>
        </w:rPr>
      </w:pPr>
    </w:p>
    <w:p>
      <w:pPr>
        <w:ind w:left="880" w:hanging="293"/>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a contract with a customer;</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performance obligations are satisfied.</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 Recognition</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February 2016, the Financial Accounting Standards Board (“FASB”) issued ASU 2016 02, Leases (ASC 842). This ASU requires a lessee to recognize a right-of-use asset and a lease liability under most operating leases in its balance sheet. The ASU is effective for annual and interim periods beginning after December 15, 2021. Early adoption is permitted. The Company adopted ASC 842 on January 1, 2022, and did not require retrospective medication.</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Company determines if an arrangement is a lease, or includes an embedded lease, at inception for each contract or agreement. A contract is or contains an embedded lease if the contract meets all of the below criteria:</w:t>
      </w:r>
    </w:p>
    <w:p>
      <w:pPr>
        <w:spacing w:after="0" w:line="138" w:lineRule="exact"/>
        <w:rPr>
          <w:sz w:val="20"/>
          <w:szCs w:val="20"/>
          <w:color w:val="auto"/>
        </w:rPr>
      </w:pPr>
    </w:p>
    <w:p>
      <w:pPr>
        <w:ind w:left="880" w:hanging="293"/>
        <w:spacing w:after="0"/>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 identified asset;</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obtains substantially all of the economic benefits of the asset;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right to direct the use of the asset.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2" w:name="page63"/>
    <w:bookmarkEnd w:id="62"/>
    <w:p>
      <w:pPr>
        <w:jc w:val="both"/>
        <w:spacing w:after="0" w:line="265" w:lineRule="auto"/>
        <w:rPr>
          <w:sz w:val="20"/>
          <w:szCs w:val="20"/>
          <w:color w:val="auto"/>
        </w:rPr>
      </w:pPr>
      <w:r>
        <w:rPr>
          <w:rFonts w:ascii="Times New Roman" w:cs="Times New Roman" w:eastAsia="Times New Roman" w:hAnsi="Times New Roman"/>
          <w:sz w:val="16"/>
          <w:szCs w:val="16"/>
          <w:color w:val="auto"/>
        </w:rPr>
        <w:t>The Company’s operating lease agreements include office and warehouse space. Right-of-use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6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spacing w:after="0" w:line="15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w:t>
      </w:r>
    </w:p>
    <w:p>
      <w:pPr>
        <w:spacing w:after="0" w:line="15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The Company has elected the practical expedient not to recognize leases with an initial term of 12 months or less on its balance sheets and lease expense is recognized on a straight-line basis over the term of the short-term lease.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The Company accounts for stock-based compensation in accordance with ASC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The Company measures all stock-based awards granted to employees, directors and non-employee consultants based on the fair value on the date of the grant and recognizes compensation expense for those awards, net of estimated forfeitures,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spacing w:after="0" w:line="16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The Company classifies stock-based compensation expenses in its statement of operations in the same manner in which the award recipient’s payroll costs are classified or in which the award recipient’s service payments are classified.</w:t>
      </w:r>
    </w:p>
    <w:p>
      <w:pPr>
        <w:spacing w:after="0" w:line="13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expenses could be materially different for future awards.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color w:val="auto"/>
        </w:rPr>
        <w:t>JOBS Act Accounting Election</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As of the Effective Time (i) Grassi &amp; Co., CPAs, P.C. (“Grassi”), was dismissed as the independent registered public accounting firm of the Company, and (ii) our board of directors engaged dbbmckennon (“dbbmckennon”) as the independent registered public accounting firm to audit Serve’s financial statements for the fiscal years ended December 31, 2022 and 2021 and to audit our financial statements for the fiscal year ended December 31, 2023.</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During the fiscal years ended December 31, 2022 and 2021, and the subsequent interim period through the date of Grassi’s dismissal, there were no disagreements with Grassi on any matter of accounting principles or practices, financial statement disclosure or auditing scope or procedure, which disagreements, if not resolved to the satisfaction of Grassi, would have caused it to make reference to the subject matter thereof in connection with its report, nor did its report contain an adverse opinion or a disclaimer of opinion, or was qualified or modified as to uncertainty, audit scope, or accounting principle.</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During the fiscal years ended December 31, 2022 and 2021, and the subsequent interim period through the date of Grassi’s dismissal, neither we nor anyone acting on our behalf consulted dbbmckennon regarding the application of accounting principles to a specified transaction, either completed or proposed, or the type of audit opinion that might be rendered on our financial statements.</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We have provided Grassi with a copy of this registration statement prior to the filing hereof and have requested that Grassi furnish to us a letter addressed to the SEC stating whether Grassi agrees with the statements made herein. Grassi has furnished such letter, which is filed as Exhibit 16.1 hereto, as required by Item 304(a)(3) of Regulation S-K.</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Formation History</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Serve Operating Co. was incorporated in the State of Delaware on January 15, 2021. Serve is a spin-off of Uber Technologies, Inc. (“Uber”), a global ride-hailing and last mile delivery platform. The Serve initiative was initially formed in 2017 as the X division of Postmates Inc. (“Postmates”), a pioneering food delivery startup in the United States. Uber acquired Postmates in 2020, including the Postmates X division.</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At the beginning of 2021, Uber’s leadership agreed to contribute the intellectual property developed by the Postmates X division team, the related assets, as well as a capital investment to Serve in return for a minority equity interest in the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Glossary of Terms and Abbreviations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glossary of technical terms used in this prospectus: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AI — </w:t>
      </w:r>
      <w:r>
        <w:rPr>
          <w:rFonts w:ascii="Times New Roman" w:cs="Times New Roman" w:eastAsia="Times New Roman" w:hAnsi="Times New Roman"/>
          <w:sz w:val="16"/>
          <w:szCs w:val="16"/>
          <w:color w:val="auto"/>
        </w:rPr>
        <w:t>Artificial Intelligence</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AV — </w:t>
      </w:r>
      <w:r>
        <w:rPr>
          <w:rFonts w:ascii="Times New Roman" w:cs="Times New Roman" w:eastAsia="Times New Roman" w:hAnsi="Times New Roman"/>
          <w:sz w:val="16"/>
          <w:szCs w:val="16"/>
          <w:color w:val="auto"/>
        </w:rPr>
        <w:t>Autonomous Vehicle</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GHG — </w:t>
      </w:r>
      <w:r>
        <w:rPr>
          <w:rFonts w:ascii="Times New Roman" w:cs="Times New Roman" w:eastAsia="Times New Roman" w:hAnsi="Times New Roman"/>
          <w:sz w:val="16"/>
          <w:szCs w:val="16"/>
          <w:color w:val="auto"/>
        </w:rPr>
        <w:t>Greenhouse Gases</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GPS — </w:t>
      </w:r>
      <w:r>
        <w:rPr>
          <w:rFonts w:ascii="Times New Roman" w:cs="Times New Roman" w:eastAsia="Times New Roman" w:hAnsi="Times New Roman"/>
          <w:sz w:val="16"/>
          <w:szCs w:val="16"/>
          <w:color w:val="auto"/>
        </w:rPr>
        <w:t>Global Positioning System</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GPU — </w:t>
      </w:r>
      <w:r>
        <w:rPr>
          <w:rFonts w:ascii="Times New Roman" w:cs="Times New Roman" w:eastAsia="Times New Roman" w:hAnsi="Times New Roman"/>
          <w:sz w:val="16"/>
          <w:szCs w:val="16"/>
          <w:color w:val="auto"/>
        </w:rPr>
        <w:t>Graphical Processing Unit</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IMU — </w:t>
      </w:r>
      <w:r>
        <w:rPr>
          <w:rFonts w:ascii="Times New Roman" w:cs="Times New Roman" w:eastAsia="Times New Roman" w:hAnsi="Times New Roman"/>
          <w:sz w:val="16"/>
          <w:szCs w:val="16"/>
          <w:color w:val="auto"/>
        </w:rPr>
        <w:t>Inertial Measurement Unit</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LIDAR — </w:t>
      </w:r>
      <w:r>
        <w:rPr>
          <w:rFonts w:ascii="Times New Roman" w:cs="Times New Roman" w:eastAsia="Times New Roman" w:hAnsi="Times New Roman"/>
          <w:sz w:val="16"/>
          <w:szCs w:val="16"/>
          <w:color w:val="auto"/>
        </w:rPr>
        <w:t>A digital sensor for measuring distance to objects which uses the principle of radar, but uses light from a laser</w:t>
      </w:r>
    </w:p>
    <w:p>
      <w:pPr>
        <w:spacing w:after="0" w:line="209" w:lineRule="exact"/>
        <w:rPr>
          <w:sz w:val="20"/>
          <w:szCs w:val="20"/>
          <w:color w:val="auto"/>
        </w:rPr>
      </w:pPr>
    </w:p>
    <w:p>
      <w:pPr>
        <w:ind w:left="58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ODD — </w:t>
      </w:r>
      <w:r>
        <w:rPr>
          <w:rFonts w:ascii="Times New Roman" w:cs="Times New Roman" w:eastAsia="Times New Roman" w:hAnsi="Times New Roman"/>
          <w:sz w:val="16"/>
          <w:szCs w:val="16"/>
          <w:color w:val="auto"/>
        </w:rPr>
        <w:t>Operating Design Domain describes the specific operating conditions in which the automated driving system is designed to properly operate,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but not limited to roadway types, speed range, and environmental conditions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Reverse Logistics — </w:t>
      </w:r>
      <w:r>
        <w:rPr>
          <w:rFonts w:ascii="Times New Roman" w:cs="Times New Roman" w:eastAsia="Times New Roman" w:hAnsi="Times New Roman"/>
          <w:sz w:val="16"/>
          <w:szCs w:val="16"/>
          <w:color w:val="auto"/>
        </w:rPr>
        <w:t>A type of supply chain management that moves goods from customers back to the sellers or manufacturers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on a mission to deliver a sustainable future by transforming how goods move among people.</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Serve has developed an advanced, AI-powered robotics mobility platform, with last mile delivery in cities as its first application. According to the Bureau of Transportation Statistics (2017), 45% of car trips are taken for shopping and errands, while FedEx has stated that over 60% of merchants’ customers live within three miles of a store location (2019). By eliminating unnecessary car traffic, and by reducing the cost of last mile transportation, Serve aims to reshape cities into sustainable, safe, and people-friendly environments, with thriving local economies.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Serve’s first product is a low-emissions robot that serves people in public spaces, starting with food delivery. In 2017, our core technology development began by our co-founders and a growing product and engineering team. In 2020, the team launched a fleet of sidewalk delivery robots (hereafter simply referred to as “delivery robots”) in Los Angeles performing contactless restaurant deliveries during the COVID-19 pandemic shutdowns. By the end of that year, Serve robots had successfully completed over 10,000 commercial deliveries for Postmates in California, augmenting Postmates’ fleet of human couriers.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5" w:name="page66"/>
    <w:bookmarkEnd w:id="65"/>
    <w:p>
      <w:pPr>
        <w:jc w:val="both"/>
        <w:spacing w:after="0" w:line="294" w:lineRule="auto"/>
        <w:rPr>
          <w:sz w:val="20"/>
          <w:szCs w:val="20"/>
          <w:color w:val="auto"/>
        </w:rPr>
      </w:pPr>
      <w:r>
        <w:rPr>
          <w:rFonts w:ascii="Times New Roman" w:cs="Times New Roman" w:eastAsia="Times New Roman" w:hAnsi="Times New Roman"/>
          <w:sz w:val="16"/>
          <w:szCs w:val="16"/>
          <w:color w:val="auto"/>
        </w:rPr>
        <w:t>After the spin-off in 2021, Serve established a commercial partnership with Uber, with deliveries starting in January 2022 at a small scale. In May 2022, Uber announced a pilot program with Serve, and by June, it executed a commercial-scale agreement with Serve to deploy up to 2,000 of its robots across the United States.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Serve’s current fleet consists of over 100 robots, and we plan to expand our fleet by building and deploying hundreds of new robots in coming years after raising additional rounds of financing. Our goal is to deploy all 2,000 Uber robots by the end of 2025, though the exact timing and robot quantity will be determined by future capital availability. We currently do not expect to be able to build and deploy robots in 2024 based on our existing capital. We have platform-level integrations with Uber Eats and 7-Eleven, Inc. in Los Angeles, California, which means Serve robots can provide real-time presence and status updates on those platforms and receive requests to perform deliveries with respect to customer orders placed on those platforms as needed. We have also successfully conducted pilots for Walmart, a major pizza quick service restaurant, and a major coffee shop chain. To date, Uber Eats is the only partner for whom we have completed a material number of deliveries. Our strategic investors include NVIDIA, Uber, 7-Ventures and Delivery Hero’s corporate venture units, alongside other world-class investors.</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Because Serve started within a food delivery company, our team comes with a depth of expertise in food delivery. Additionally, the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Last Mile Delivery Costs</w:t>
      </w:r>
    </w:p>
    <w:p>
      <w:pPr>
        <w:spacing w:after="0" w:line="2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Despite new technological innovations of the past few decades as well as growing adoption of online commerce and home delivery, last mile delivery has remained costly and inefficient. By our own estimate, issues such as refunds and crediting caused by driver error (e.g., failed deliveries or missing items) and fraud increase average delivery cost by over $1.00 per delivery. In 2022, DoorDash, the largest food delivery platform in the United States, reported 35% revenue growth while net losses increased over 190%.</w:t>
      </w:r>
    </w:p>
    <w:p>
      <w:pPr>
        <w:spacing w:after="0" w:line="3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Besides on-demand delivery, next-day parcel delivery has also struggled with last mile cost. For example, in May 2023, Amazon announced a program to reduce its delivery costs by offering customers $10 to pick up items from nearby stores.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Tailwinds for Automation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While an ever-growing share of consumers is shopping online and demanding faster deliveries, a number of factors have contributed to keeping last mile costs high:</w:t>
      </w:r>
    </w:p>
    <w:p>
      <w:pPr>
        <w:spacing w:after="0" w:line="209" w:lineRule="exact"/>
        <w:rPr>
          <w:sz w:val="20"/>
          <w:szCs w:val="20"/>
          <w:color w:val="auto"/>
        </w:rPr>
      </w:pPr>
    </w:p>
    <w:p>
      <w:pPr>
        <w:ind w:left="880" w:hanging="293"/>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shortages caused by the aging population and the COVID-19 pandemic have led to wage inflation.</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On-demand delivery companies in many jurisdictions are battling regulatory pressures to classify gig workers as employees, which would in turn increase labor costs.</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recently, cities across the United States have introduced maximum limits on how much delivery platforms can charge restaurants and merchants, highlighting the need to lower underlying delivery costs.</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Labor cost inflation and regulatory pressures serve as tailwinds that are expected to accelerate the adoption of automated robotic last mile delivery. While labor costs typically increase over time, hardware and technology costs typically decrease. We expect the cost of cameras, GPU processors, electric motors, batteries, and advanced sensors such as LIDAR to continue to decrease, while mobile networks will become faster and more reliable with higher bandwidth and geographic coverage, which will lead to a downward trend in the cost of building and operating robots.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t>Delivery Robots, Aerial Drones and Autonomous Vehicle</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Deliveries vary by distance, cargo size, cargo sensitivity and timing requirements, among other factors. Today, most next-day parcels are delivered using trucks, while on-demand food delivery largely takes place in personal vehicles. Overall, a small percentage of short distance deliveries are performed on bicycles.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automation is introduced, different automated technologies will be best suited for different deliveries.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rapidly over the coming years. Robots are best suited for short distance deliveries in populated environments and drones are best suited for longer distances and less populated areas. When different automated vehicles emerge at scale, we expect to see a considerable share of deliveries completed using multiple technologies collaboratively.</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example, while aerial drones may provide faster delivery experience across longer distances and less populated areas, they face many challenges when it comes to picking up orders from many restaurants located in densely populated areas: safety concerns to sidewalk pedestrians, noise pollution, and lack of availability of dedicated real estate at every store front, among others. Instead, we expect delivery robots will be able to pick up items on busy streets and urban environments, and deliver them to a drone at a nearby hand-off location. While in motion, a battery-powered delivery robot often generates less noise and carries considerably less kinetic energy than a flying drone. By blending with existing infrastructure without introducing significant noise or safety concerns, delivery robots may enable drones to access items in the most populated spaces that may otherwise be challenging for drones to access in the future.</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Similarly, when AVs become commercially viable, they will face challenges accessing merchants on congested streets where parking is limited. Restaurant waiting staff are often too busy to walk to the nearest available parking space to load an AV. We expect delivery robots will facilitate this process and help accelerate the adoption of AVs by allowing them to commercialize within existing urban infrastructures.</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In summary, delivery robots, aerial drones and AVs are each efficacious for deliveries with different attributes, and all three will work collaboratively to create the most efficient automated last mile delivery network.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Delivery Robot Operations</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sidewalk delivery robots start each day at a central hub located near their operating area. Employees at the hub prepare robots for dispatch every morning by ensuring robots are cleaned, regular maintenance items are performed, and robots pass daily diagnostic tests. While most robots deploy to and return from their operating area automatically and without further vehicular assistance, some robots may be transported to and from operating areas that are further away in a human-driven vehicle.</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While in the field, we estimate that Serve robots are able to navigate over 80% of their environment autonomously. They are supervised through mobile connectivity and video streaming by remote human operators who can assist robots when necessary, such as at intersection crossings or when robots are unable to navigate certain conditions (e.g., blocked paths, construction zones, etc.). In less frequent occasions, if a robot requires physical assistance, such as when a robot is too low on battery to return home or if it has been damaged, a nearby employee is dispatched to repair or return the robot. As of January 2024, fewer than 1 out of every 500 of our robotic deliveries require physical assistance.</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7" w:name="page68"/>
    <w:bookmarkEnd w:id="67"/>
    <w:p>
      <w:pPr>
        <w:jc w:val="both"/>
        <w:spacing w:after="0" w:line="269" w:lineRule="auto"/>
        <w:rPr>
          <w:sz w:val="20"/>
          <w:szCs w:val="20"/>
          <w:color w:val="auto"/>
        </w:rPr>
      </w:pPr>
      <w:r>
        <w:rPr>
          <w:rFonts w:ascii="Times New Roman" w:cs="Times New Roman" w:eastAsia="Times New Roman" w:hAnsi="Times New Roman"/>
          <w:sz w:val="16"/>
          <w:szCs w:val="16"/>
          <w:color w:val="auto"/>
        </w:rPr>
        <w:t>At night, robots return to their central hub to be recharged, maintained, upgraded when necessary, and prepared for next morning’s deployment. Also, various robot components are occasionally replaced due to wear and tear (e.g., tires, motors and batteries). Other components such as computers and key sensors like LIDAR have multi-year lifespans and are rarely replaced. Overall, the useful life of a robot is measured in years, as calculated based on the average lifespan of individual components weighted by their cost.</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Sidewalk delivery robots have inherent limitations on how much cargo they can carry and how quickly they can move given the constraints of the sidewalk environment. Current Serve robots carry up to 50 lbs and can move at a maximum speed of 7 mph. This imposes limits on addressable deliveries, travel time, and rate of utilization of robots. For example, due to their speed, delivery robots are best suited for short-distance deliveries, though the majority of restaurant deliveries in the United States are under 2.5 miles and thus within the delivery range of sidewalk robots. Additionally, given the expected customer delivery wait time of 30 minutes, food delivery robots operating 12 hours per day could perform a maximum of 20 to 30 deliveries per day, depending on the rate of batched deliveries.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Furthermore, our robots are equipped with a number of security features to prevent their cargo and their associated data and IP from unauthorized access. The robots’ secure cargo compartment can only be unlocked through the delivery app’s interface or using a security code entered on the touch screen. Moreover, using encrypted communication protocols and data storage as well as secure authentication methods, the data and software onboard each robot is protected from unauthorized access. Finally, robots are equipped with redundant real-time location tracking systems as well as alarm and communication features to deter attempts at vandalism and enable quick recovery of assets in the unlikely event of theft.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Robotic Delivery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automation decreases the cost of last mile delivery and leads to increased adoption, we anticipate opportunities for impact over the long term:</w:t>
      </w:r>
    </w:p>
    <w:p>
      <w:pPr>
        <w:spacing w:after="0" w:line="209" w:lineRule="exact"/>
        <w:rPr>
          <w:sz w:val="20"/>
          <w:szCs w:val="20"/>
          <w:color w:val="auto"/>
        </w:rPr>
      </w:pPr>
    </w:p>
    <w:p>
      <w:pPr>
        <w:ind w:left="880" w:hanging="293"/>
        <w:spacing w:after="0"/>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GHG Emissions: We believe robots and drones can reduce emissions caused by large vehicles used today for moving small packages.</w:t>
      </w:r>
    </w:p>
    <w:p>
      <w:pPr>
        <w:spacing w:after="0" w:line="208" w:lineRule="exact"/>
        <w:rPr>
          <w:rFonts w:ascii="Times New Roman" w:cs="Times New Roman" w:eastAsia="Times New Roman" w:hAnsi="Times New Roman"/>
          <w:sz w:val="16"/>
          <w:szCs w:val="16"/>
          <w:color w:val="auto"/>
        </w:rPr>
      </w:pPr>
    </w:p>
    <w:p>
      <w:pPr>
        <w:jc w:val="both"/>
        <w:ind w:left="880" w:hanging="293"/>
        <w:spacing w:after="0" w:line="275"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Delivery Costs: While all automated delivery vehicles still require a certain amount of human involvement (e.g., loading &amp; unloading, maintenance, remote supervision), we believe labor is leveraged more efficiently resulting in more deliveries per unit of human effort. Just as automation has done in the past, it is expected that this will reduce delivery costs.</w:t>
      </w:r>
    </w:p>
    <w:p>
      <w:pPr>
        <w:spacing w:after="0" w:line="152"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On-Demand Adoption: On-demand services are largely luxuries afforded by affluent consumers today. We believe reducing delivery costs could make home delivery services affordable to more people.</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Easier Reverse Logistics: We believe reducing the cost for last mile transportation is likely to increase adoption of reverse logistics applications as well (e.g., more convenient package returns).</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Local Commerce: We believe that the increased adoption of home delivery will result in more commerce for local businesses.</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Moreover, faster and cheaper local deliveries as well as easier and more cost-effective reverse logistics will likely result in new consumer behaviors and increased use of online commerce. For example, a customer ordering a pair of shoes from Amazon may wait several days only to receive an ill-fitting pair that must be returned while they wait more days for the next pair. In contrast, a customer ordering shoes from a local store could have three pairs of varying sizes delivered to their front door by a robot within an hour. They may try them on, pick the best fitting pair, and leave the other pairs in the robot to return.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68" w:name="page69"/>
    <w:bookmarkEnd w:id="68"/>
    <w:p>
      <w:pPr>
        <w:jc w:val="both"/>
        <w:ind w:left="880" w:hanging="293"/>
        <w:spacing w:after="0" w:line="278"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More Local Jobs</w:t>
      </w:r>
      <w:r>
        <w:rPr>
          <w:rFonts w:ascii="Times New Roman" w:cs="Times New Roman" w:eastAsia="Times New Roman" w:hAnsi="Times New Roman"/>
          <w:sz w:val="16"/>
          <w:szCs w:val="16"/>
          <w:color w:val="auto"/>
        </w:rPr>
        <w:t>: We believe increased delivery and local commerce activities resulting from reduction in cost of delivery could lead to more local jobs,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ranging from increased staffing of local businesses, logistics operators who enable automated delivery networks to function, and human couriers who perform deliveries that automated services cannot perform.</w:t>
      </w:r>
    </w:p>
    <w:p>
      <w:pPr>
        <w:spacing w:after="0" w:line="145" w:lineRule="exact"/>
        <w:rPr>
          <w:rFonts w:ascii="Times New Roman" w:cs="Times New Roman" w:eastAsia="Times New Roman" w:hAnsi="Times New Roman"/>
          <w:sz w:val="16"/>
          <w:szCs w:val="16"/>
          <w:color w:val="auto"/>
        </w:rPr>
      </w:pPr>
    </w:p>
    <w:p>
      <w:pPr>
        <w:jc w:val="both"/>
        <w:ind w:left="880" w:hanging="293"/>
        <w:spacing w:after="0" w:line="278"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Higher Delivery Quality</w:t>
      </w:r>
      <w:r>
        <w:rPr>
          <w:rFonts w:ascii="Times New Roman" w:cs="Times New Roman" w:eastAsia="Times New Roman" w:hAnsi="Times New Roman"/>
          <w:sz w:val="16"/>
          <w:szCs w:val="16"/>
          <w:color w:val="auto"/>
        </w:rPr>
        <w:t>: Like most automated systems, robots are less prone to error. For example, customers of food delivery platforms often experience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missing items, mistaken orders, and lost or missed deliveries altogether. Robots promise to reduce such errors, creating a better experience for customers and merchants alike.</w:t>
      </w:r>
    </w:p>
    <w:p>
      <w:pPr>
        <w:spacing w:after="0" w:line="145" w:lineRule="exact"/>
        <w:rPr>
          <w:rFonts w:ascii="Times New Roman" w:cs="Times New Roman" w:eastAsia="Times New Roman" w:hAnsi="Times New Roman"/>
          <w:sz w:val="16"/>
          <w:szCs w:val="16"/>
          <w:color w:val="auto"/>
        </w:rPr>
      </w:pPr>
    </w:p>
    <w:p>
      <w:pPr>
        <w:jc w:val="both"/>
        <w:ind w:left="880" w:hanging="293"/>
        <w:spacing w:after="0" w:line="264"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Safer Roads</w:t>
      </w:r>
      <w:r>
        <w:rPr>
          <w:rFonts w:ascii="Times New Roman" w:cs="Times New Roman" w:eastAsia="Times New Roman" w:hAnsi="Times New Roman"/>
          <w:sz w:val="16"/>
          <w:szCs w:val="16"/>
          <w:color w:val="auto"/>
        </w:rPr>
        <w:t>: According to a study by the National Highway Traffic Safety Administration (the “NHTSA”) from December 2023, there were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7,388 pedestrians and 966 cyclists killed in motor vehicle crashes in 2021 in the United States. This represents a 13% increase in pedestrian deaths and a 3% increase in bicyclist deaths from 2020. The deaths accounted for 19% of all traffic fatalities in the United States in 2021. In addition to the fatalities, the NHTSA estimated there were also 60,577 pedestrians and 41,615 cyclists injured in motor vehicle crashes in the United States in 2021. These injuries can be serious and life-changing, and they can also have a significant financial impact on the victims and their families. There are many factors that contribute to pedestrian and bicyclist fatalities and injuries, including: speeding, distracted driving, drunk driving, and aggressive driving.</w:t>
      </w:r>
    </w:p>
    <w:p>
      <w:pPr>
        <w:spacing w:after="0" w:line="163" w:lineRule="exact"/>
        <w:rPr>
          <w:rFonts w:ascii="Times New Roman" w:cs="Times New Roman" w:eastAsia="Times New Roman" w:hAnsi="Times New Roman"/>
          <w:sz w:val="16"/>
          <w:szCs w:val="16"/>
          <w:color w:val="auto"/>
        </w:rPr>
      </w:pPr>
    </w:p>
    <w:p>
      <w:pPr>
        <w:ind w:left="880"/>
        <w:spacing w:after="0" w:line="29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robots weigh significantly less and move at lower speeds than cars; as a result, on average, a single car carries over a thousand times more kinetic energy than a single robot. We anticipate that replacing cars with delivery robots could result in safer cities for pedestrians and cyclists.</w:t>
      </w:r>
    </w:p>
    <w:p>
      <w:pPr>
        <w:spacing w:after="0" w:line="134" w:lineRule="exact"/>
        <w:rPr>
          <w:rFonts w:ascii="Times New Roman" w:cs="Times New Roman" w:eastAsia="Times New Roman" w:hAnsi="Times New Roman"/>
          <w:sz w:val="16"/>
          <w:szCs w:val="16"/>
          <w:color w:val="auto"/>
        </w:rPr>
      </w:pPr>
    </w:p>
    <w:p>
      <w:pPr>
        <w:jc w:val="both"/>
        <w:ind w:left="880" w:hanging="293"/>
        <w:spacing w:after="0" w:line="278"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Friendlier Cities</w:t>
      </w:r>
      <w:r>
        <w:rPr>
          <w:rFonts w:ascii="Times New Roman" w:cs="Times New Roman" w:eastAsia="Times New Roman" w:hAnsi="Times New Roman"/>
          <w:sz w:val="16"/>
          <w:szCs w:val="16"/>
          <w:color w:val="auto"/>
        </w:rPr>
        <w:t>: Based on a University of Michigan report from 2010, it is estimated that as much as one half of city land area in the United States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dedicated to streets, parking lots, driveways, and other car-related uses. With mass adoption of automated last mile delivery vehicles, such as robots and drones, more spaces in cities can be reclaimed from vehicles and used to create social and green spaces.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Serve Technology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robotic technology has been developed based on the following key principles:</w:t>
      </w:r>
    </w:p>
    <w:p>
      <w:pPr>
        <w:spacing w:after="0" w:line="205" w:lineRule="exact"/>
        <w:rPr>
          <w:sz w:val="20"/>
          <w:szCs w:val="20"/>
          <w:color w:val="auto"/>
        </w:rPr>
      </w:pPr>
    </w:p>
    <w:p>
      <w:pPr>
        <w:jc w:val="both"/>
        <w:ind w:left="880" w:hanging="293"/>
        <w:spacing w:after="0" w:line="270"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Humans and Machines</w:t>
      </w:r>
      <w:r>
        <w:rPr>
          <w:rFonts w:ascii="Times New Roman" w:cs="Times New Roman" w:eastAsia="Times New Roman" w:hAnsi="Times New Roman"/>
          <w:sz w:val="16"/>
          <w:szCs w:val="16"/>
          <w:color w:val="auto"/>
        </w:rPr>
        <w:t>: We believe that the most effective way to quickly unleash the benefits of AI and autonomy in our lives is by designing solutions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leverage both human and machine intelligence in ways that collaborate and complement each other.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p>
      <w:pPr>
        <w:spacing w:after="0" w:line="153" w:lineRule="exact"/>
        <w:rPr>
          <w:rFonts w:ascii="Times New Roman" w:cs="Times New Roman" w:eastAsia="Times New Roman" w:hAnsi="Times New Roman"/>
          <w:sz w:val="16"/>
          <w:szCs w:val="16"/>
          <w:color w:val="auto"/>
        </w:rPr>
      </w:pPr>
    </w:p>
    <w:p>
      <w:pPr>
        <w:jc w:val="both"/>
        <w:ind w:left="880" w:hanging="293"/>
        <w:spacing w:after="0" w:line="278"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Labor-Optimized</w:t>
      </w:r>
      <w:r>
        <w:rPr>
          <w:rFonts w:ascii="Times New Roman" w:cs="Times New Roman" w:eastAsia="Times New Roman" w:hAnsi="Times New Roman"/>
          <w:sz w:val="16"/>
          <w:szCs w:val="16"/>
          <w:color w:val="auto"/>
        </w:rPr>
        <w:t>: We believe the cost of advanced sensors and hardware will continue to decrease over the coming years, and optimizing against such costs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can be premature and an investment with diminishing long term returns. Instead, we have continued to innovate by designing highly capable hardware and software solutions for robotic last mile delivery that optimize against the largest cost of delivery: labor.</w:t>
      </w:r>
    </w:p>
    <w:p>
      <w:pPr>
        <w:spacing w:after="0" w:line="145" w:lineRule="exact"/>
        <w:rPr>
          <w:rFonts w:ascii="Times New Roman" w:cs="Times New Roman" w:eastAsia="Times New Roman" w:hAnsi="Times New Roman"/>
          <w:sz w:val="16"/>
          <w:szCs w:val="16"/>
          <w:color w:val="auto"/>
        </w:rPr>
      </w:pPr>
    </w:p>
    <w:p>
      <w:pPr>
        <w:ind w:left="880" w:hanging="293"/>
        <w:spacing w:after="0" w:line="300"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Robots Among People</w:t>
      </w:r>
      <w:r>
        <w:rPr>
          <w:rFonts w:ascii="Times New Roman" w:cs="Times New Roman" w:eastAsia="Times New Roman" w:hAnsi="Times New Roman"/>
          <w:sz w:val="16"/>
          <w:szCs w:val="16"/>
          <w:color w:val="auto"/>
        </w:rPr>
        <w:t>: We believe that building world-class hardware, software, AI and autonomy for robots to share spaces with people is how we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positioned to build market value and create a lasting legacy.</w:t>
      </w:r>
    </w:p>
    <w:p>
      <w:pPr>
        <w:spacing w:after="0" w:line="129"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Robotic Platform</w:t>
      </w:r>
      <w:r>
        <w:rPr>
          <w:rFonts w:ascii="Times New Roman" w:cs="Times New Roman" w:eastAsia="Times New Roman" w:hAnsi="Times New Roman"/>
          <w:sz w:val="16"/>
          <w:szCs w:val="16"/>
          <w:color w:val="auto"/>
        </w:rPr>
        <w:t>: Our mission is to build a superior robotic platform that can accelerate the adoption of robotic solutions beyond last mile delivery.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key highlights of our approach to technology development:</w:t>
      </w:r>
    </w:p>
    <w:p>
      <w:pPr>
        <w:spacing w:after="0" w:line="20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Artificial Intelligence </w:t>
      </w:r>
      <w:r>
        <w:rPr>
          <w:rFonts w:ascii="Times New Roman" w:cs="Times New Roman" w:eastAsia="Times New Roman" w:hAnsi="Times New Roman"/>
          <w:sz w:val="16"/>
          <w:szCs w:val="16"/>
          <w:color w:val="auto"/>
        </w:rPr>
        <w:t>— AI empowers Serve robots to navigate city sidewalks and interact with their environment safely and efficiently. We use the latest AI</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methodologies to design, train and deploy a host of models on Serve robots.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9" w:name="page70"/>
    <w:bookmarkEnd w:id="69"/>
    <w:p>
      <w:pPr>
        <w:jc w:val="both"/>
        <w:spacing w:after="0" w:line="294" w:lineRule="auto"/>
        <w:rPr>
          <w:sz w:val="20"/>
          <w:szCs w:val="20"/>
          <w:color w:val="auto"/>
        </w:rPr>
      </w:pPr>
      <w:r>
        <w:rPr>
          <w:rFonts w:ascii="Times New Roman" w:cs="Times New Roman" w:eastAsia="Times New Roman" w:hAnsi="Times New Roman"/>
          <w:sz w:val="16"/>
          <w:szCs w:val="16"/>
          <w:color w:val="auto"/>
        </w:rPr>
        <w:t>Currently, our AI models are used to perform a variety of tasks, including identification of sidewalk surfaces, intersections, traffic signals, obstacles, pedestrians and vehicles, and projecting the trajectory of other dynamic agents.</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For the last six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Level 4 Autonomy </w:t>
      </w:r>
      <w:r>
        <w:rPr>
          <w:rFonts w:ascii="Times New Roman" w:cs="Times New Roman" w:eastAsia="Times New Roman" w:hAnsi="Times New Roman"/>
          <w:sz w:val="16"/>
          <w:szCs w:val="16"/>
          <w:color w:val="auto"/>
        </w:rPr>
        <w:t>— In January 2022, we announced the deployment of a new generation of delivery robots capable of operating at Level 4 autonomy.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145415</wp:posOffset>
            </wp:positionV>
            <wp:extent cx="4191635" cy="22440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91635" cy="224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Currently, we estimate that Serve robots can autonomously navigate over 80% of their operating environment with the help of a number of different AI models that detect people, objects and terrains, and predict future state of dynamic actors. Serve robots’ autonomous capabilities enable one remote supervisor to safely monitor up to four moving robots.</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Safety </w:t>
      </w:r>
      <w:r>
        <w:rPr>
          <w:rFonts w:ascii="Times New Roman" w:cs="Times New Roman" w:eastAsia="Times New Roman" w:hAnsi="Times New Roman"/>
          <w:sz w:val="16"/>
          <w:szCs w:val="16"/>
          <w:color w:val="auto"/>
        </w:rPr>
        <w:t>— Achieving Level 4 autonomy required Serve robots to maintain safety even when operating without supervision. As such, we have designed robust onboard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safety systems that rely heavily on Serve’s advanced sensors and AI capabilities. This significantly reduces the possibility of collisions even when the robots are being supervised.</w:t>
      </w:r>
    </w:p>
    <w:p>
      <w:pPr>
        <w:spacing w:after="0" w:line="3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70" w:name="page71"/>
    <w:bookmarkEnd w:id="70"/>
    <w:p>
      <w:pPr>
        <w:jc w:val="both"/>
        <w:spacing w:after="0" w:line="275" w:lineRule="auto"/>
        <w:rPr>
          <w:sz w:val="20"/>
          <w:szCs w:val="20"/>
          <w:color w:val="auto"/>
        </w:rPr>
      </w:pPr>
      <w:r>
        <w:rPr>
          <w:rFonts w:ascii="Times New Roman" w:cs="Times New Roman" w:eastAsia="Times New Roman" w:hAnsi="Times New Roman"/>
          <w:sz w:val="16"/>
          <w:szCs w:val="16"/>
          <w:color w:val="auto"/>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spacing w:after="0" w:line="149" w:lineRule="exact"/>
        <w:rPr>
          <w:sz w:val="20"/>
          <w:szCs w:val="20"/>
          <w:color w:val="auto"/>
        </w:rPr>
      </w:pPr>
    </w:p>
    <w:p>
      <w:pPr>
        <w:ind w:left="880" w:hanging="293"/>
        <w:spacing w:after="0" w:line="300"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Automatic emergency braking</w:t>
      </w:r>
      <w:r>
        <w:rPr>
          <w:rFonts w:ascii="Times New Roman" w:cs="Times New Roman" w:eastAsia="Times New Roman" w:hAnsi="Times New Roman"/>
          <w:sz w:val="16"/>
          <w:szCs w:val="16"/>
          <w:color w:val="auto"/>
        </w:rPr>
        <w:t>: If a remote supervisor mistakenly puts a robot at risk of collision, the robot will automatically override the remote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supervisor and come to a stop.</w:t>
      </w:r>
    </w:p>
    <w:p>
      <w:pPr>
        <w:spacing w:after="0" w:line="129" w:lineRule="exact"/>
        <w:rPr>
          <w:rFonts w:ascii="Times New Roman" w:cs="Times New Roman" w:eastAsia="Times New Roman" w:hAnsi="Times New Roman"/>
          <w:sz w:val="16"/>
          <w:szCs w:val="16"/>
          <w:color w:val="auto"/>
        </w:rPr>
      </w:pPr>
    </w:p>
    <w:p>
      <w:pPr>
        <w:jc w:val="both"/>
        <w:ind w:left="880" w:hanging="293"/>
        <w:spacing w:after="0" w:line="270"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Vehicle collision avoidance</w:t>
      </w:r>
      <w:r>
        <w:rPr>
          <w:rFonts w:ascii="Times New Roman" w:cs="Times New Roman" w:eastAsia="Times New Roman" w:hAnsi="Times New Roman"/>
          <w:sz w:val="16"/>
          <w:szCs w:val="16"/>
          <w:color w:val="auto"/>
        </w:rPr>
        <w:t>: While Serve robots and their remote supervisors are trained to ensure legal and safe crossing of intersections and driveways,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drivers of vehicles can still 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p>
      <w:pPr>
        <w:spacing w:after="0" w:line="153" w:lineRule="exact"/>
        <w:rPr>
          <w:rFonts w:ascii="Times New Roman" w:cs="Times New Roman" w:eastAsia="Times New Roman" w:hAnsi="Times New Roman"/>
          <w:sz w:val="16"/>
          <w:szCs w:val="16"/>
          <w:color w:val="auto"/>
        </w:rPr>
      </w:pPr>
    </w:p>
    <w:p>
      <w:pPr>
        <w:jc w:val="both"/>
        <w:ind w:left="880" w:hanging="293"/>
        <w:spacing w:after="0" w:line="270"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Fail-safe mechanical braking</w:t>
      </w:r>
      <w:r>
        <w:rPr>
          <w:rFonts w:ascii="Times New Roman" w:cs="Times New Roman" w:eastAsia="Times New Roman" w:hAnsi="Times New Roman"/>
          <w:sz w:val="16"/>
          <w:szCs w:val="16"/>
          <w:color w:val="auto"/>
        </w:rPr>
        <w:t>: We believe another unique and innovative capability of Serve robots is their fail-safe emergency braking. No matter how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reliable and well tested, batteries, electronics and computer systems occasionally fail. During any such failures, Serve robots automatically come to a full stop through a mechanically designed fail safe braking system. Some robots used by competitors solely rely on electronic braking, which can become ineffective during power or computer failures.</w:t>
      </w:r>
    </w:p>
    <w:p>
      <w:pPr>
        <w:spacing w:after="0" w:line="15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Robot Design — </w:t>
      </w:r>
      <w:r>
        <w:rPr>
          <w:rFonts w:ascii="Times New Roman" w:cs="Times New Roman" w:eastAsia="Times New Roman" w:hAnsi="Times New Roman"/>
          <w:sz w:val="16"/>
          <w:szCs w:val="16"/>
          <w:color w:val="auto"/>
        </w:rPr>
        <w:t>As a division of Postmates during Serve’s inception, we had access to millions of historical delivery records. This enabled us to design robots from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ground up based on proprietary insights about last mile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95250</wp:posOffset>
            </wp:positionV>
            <wp:extent cx="2244090" cy="12700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44090" cy="127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Serve robots consist of a number of key systems:</w:t>
      </w:r>
    </w:p>
    <w:p>
      <w:pPr>
        <w:spacing w:after="0" w:line="205" w:lineRule="exact"/>
        <w:rPr>
          <w:sz w:val="20"/>
          <w:szCs w:val="20"/>
          <w:color w:val="auto"/>
        </w:rPr>
      </w:pPr>
    </w:p>
    <w:p>
      <w:pPr>
        <w:ind w:left="880" w:hanging="293"/>
        <w:spacing w:after="0" w:line="300"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Drivetrain</w:t>
      </w:r>
      <w:r>
        <w:rPr>
          <w:rFonts w:ascii="Times New Roman" w:cs="Times New Roman" w:eastAsia="Times New Roman" w:hAnsi="Times New Roman"/>
          <w:sz w:val="16"/>
          <w:szCs w:val="16"/>
          <w:color w:val="auto"/>
        </w:rPr>
        <w:t>: Serve’s innovative four-wheel drive system is custom-made for navigating city sidewalks. It includes Ackerman steering similar to road vehicles,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emergency fail-safe braking, and a bogie suspension mechanism. Our unique design is a result of years of iteration and field testing.</w:t>
      </w:r>
    </w:p>
    <w:p>
      <w:pPr>
        <w:spacing w:after="0" w:line="133" w:lineRule="exact"/>
        <w:rPr>
          <w:rFonts w:ascii="Times New Roman" w:cs="Times New Roman" w:eastAsia="Times New Roman" w:hAnsi="Times New Roman"/>
          <w:sz w:val="16"/>
          <w:szCs w:val="16"/>
          <w:color w:val="auto"/>
        </w:rPr>
      </w:pPr>
    </w:p>
    <w:p>
      <w:pPr>
        <w:jc w:val="both"/>
        <w:ind w:left="88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Rather than a fixed wheelbase, our robots use a bogie that connects the pair of wheels on each side of the robot together via a differential. Relative to the main chassis, each pair of wheels can rotate in opposite directions to maintain full traction on all four wheels regardless of road surface irregularities. As a result, Serve robots can reliably navigate challenging city sidewalks that include tree wells, fallen branches, tree roots and other unexpected obstacles.</w:t>
      </w:r>
    </w:p>
    <w:p>
      <w:pPr>
        <w:spacing w:after="0" w:line="152" w:lineRule="exact"/>
        <w:rPr>
          <w:rFonts w:ascii="Times New Roman" w:cs="Times New Roman" w:eastAsia="Times New Roman" w:hAnsi="Times New Roman"/>
          <w:sz w:val="16"/>
          <w:szCs w:val="16"/>
          <w:color w:val="auto"/>
        </w:rPr>
      </w:pPr>
    </w:p>
    <w:p>
      <w:pPr>
        <w:ind w:left="880"/>
        <w:spacing w:after="0" w:line="29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bogie design was inspired by the suspension arrangement first developed by NASA in 1988 for the Mars rover Sojourner. Since then, NASA has used similar designs in Mars rovers </w:t>
      </w:r>
      <w:r>
        <w:rPr>
          <w:rFonts w:ascii="Times New Roman" w:cs="Times New Roman" w:eastAsia="Times New Roman" w:hAnsi="Times New Roman"/>
          <w:sz w:val="16"/>
          <w:szCs w:val="16"/>
          <w:i w:val="1"/>
          <w:iCs w:val="1"/>
          <w:color w:val="auto"/>
        </w:rPr>
        <w:t>Spirit, Opportunity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Curiosity,</w:t>
      </w:r>
      <w:r>
        <w:rPr>
          <w:rFonts w:ascii="Times New Roman" w:cs="Times New Roman" w:eastAsia="Times New Roman" w:hAnsi="Times New Roman"/>
          <w:sz w:val="16"/>
          <w:szCs w:val="16"/>
          <w:color w:val="auto"/>
        </w:rPr>
        <w:t xml:space="preserve"> and, most recently </w:t>
      </w:r>
      <w:r>
        <w:rPr>
          <w:rFonts w:ascii="Times New Roman" w:cs="Times New Roman" w:eastAsia="Times New Roman" w:hAnsi="Times New Roman"/>
          <w:sz w:val="16"/>
          <w:szCs w:val="16"/>
          <w:i w:val="1"/>
          <w:iCs w:val="1"/>
          <w:color w:val="auto"/>
        </w:rPr>
        <w:t>Perseverance.</w:t>
      </w:r>
    </w:p>
    <w:p>
      <w:pPr>
        <w:spacing w:after="0" w:line="134" w:lineRule="exact"/>
        <w:rPr>
          <w:rFonts w:ascii="Times New Roman" w:cs="Times New Roman" w:eastAsia="Times New Roman" w:hAnsi="Times New Roman"/>
          <w:sz w:val="16"/>
          <w:szCs w:val="16"/>
          <w:color w:val="auto"/>
        </w:rPr>
      </w:pPr>
    </w:p>
    <w:p>
      <w:pPr>
        <w:ind w:left="880" w:hanging="293"/>
        <w:spacing w:after="0" w:line="300"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Power System</w:t>
      </w:r>
      <w:r>
        <w:rPr>
          <w:rFonts w:ascii="Times New Roman" w:cs="Times New Roman" w:eastAsia="Times New Roman" w:hAnsi="Times New Roman"/>
          <w:sz w:val="16"/>
          <w:szCs w:val="16"/>
          <w:color w:val="auto"/>
        </w:rPr>
        <w:t>: Serve’s custom designed power distribution system and redundant batteries enable it to operate reliably from morning to night without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requiring charging or battery swaps. Robots charge within a few hours upon returning to their home station at night.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71" w:name="page72"/>
    <w:bookmarkEnd w:id="71"/>
    <w:p>
      <w:pPr>
        <w:ind w:left="880" w:hanging="293"/>
        <w:spacing w:after="0" w:line="300"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Connectivity</w:t>
      </w:r>
      <w:r>
        <w:rPr>
          <w:rFonts w:ascii="Times New Roman" w:cs="Times New Roman" w:eastAsia="Times New Roman" w:hAnsi="Times New Roman"/>
          <w:sz w:val="16"/>
          <w:szCs w:val="16"/>
          <w:color w:val="auto"/>
        </w:rPr>
        <w:t>: Serve robots include redundant LTE modems and antennas that ensure they can consistently connect to cloud services used to dispatch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route their movements, as well as be monitored by remote supervisors.</w:t>
      </w:r>
    </w:p>
    <w:p>
      <w:pPr>
        <w:spacing w:after="0" w:line="129" w:lineRule="exact"/>
        <w:rPr>
          <w:rFonts w:ascii="Times New Roman" w:cs="Times New Roman" w:eastAsia="Times New Roman" w:hAnsi="Times New Roman"/>
          <w:sz w:val="16"/>
          <w:szCs w:val="16"/>
          <w:color w:val="auto"/>
        </w:rPr>
      </w:pPr>
    </w:p>
    <w:p>
      <w:pPr>
        <w:jc w:val="both"/>
        <w:ind w:left="880" w:hanging="293"/>
        <w:spacing w:after="0" w:line="278"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Sensing &amp; Compute</w:t>
      </w:r>
      <w:r>
        <w:rPr>
          <w:rFonts w:ascii="Times New Roman" w:cs="Times New Roman" w:eastAsia="Times New Roman" w:hAnsi="Times New Roman"/>
          <w:sz w:val="16"/>
          <w:szCs w:val="16"/>
          <w:color w:val="auto"/>
        </w:rPr>
        <w:t>: Serve robots are equipped with an array of cameras, ultrasonic sensors, a pair of stereo cameras, an infrared-based depth sensor, GPS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sensors, IMUs, and a 360-degrees LIDAR sensor. Additionally, the robots use multiple CPU and GPU chips to process sensor information, run AI models, perform actions, interact with pedestrians, and connect to the internet.</w:t>
      </w:r>
    </w:p>
    <w:p>
      <w:pPr>
        <w:spacing w:after="0" w:line="145" w:lineRule="exact"/>
        <w:rPr>
          <w:rFonts w:ascii="Times New Roman" w:cs="Times New Roman" w:eastAsia="Times New Roman" w:hAnsi="Times New Roman"/>
          <w:sz w:val="16"/>
          <w:szCs w:val="16"/>
          <w:color w:val="auto"/>
        </w:rPr>
      </w:pPr>
    </w:p>
    <w:p>
      <w:pPr>
        <w:jc w:val="both"/>
        <w:ind w:left="880" w:hanging="293"/>
        <w:spacing w:after="0" w:line="267"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Secured Cargo</w:t>
      </w:r>
      <w:r>
        <w:rPr>
          <w:rFonts w:ascii="Times New Roman" w:cs="Times New Roman" w:eastAsia="Times New Roman" w:hAnsi="Times New Roman"/>
          <w:sz w:val="16"/>
          <w:szCs w:val="16"/>
          <w:color w:val="auto"/>
        </w:rPr>
        <w:t>: Serve’s cargo bin is designed for maximum capacity, ease of use, customizability, and operational efficiency. The bin fits two large shopping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bags or four large pizzas. During operation the bin remains locked and is only accessible to designated restaurant staff and delivery customers, who can use their delivery app or the PIN pad on the robot’s touchscreen to unlock the cargo. Once the user completes loading or unloading, the cargo lid shuts down and locks automatically, without requiring additional human assistance. Lastly, the cargo space is designed to remain sufficiently clean and operational even if there is liquid spillage. Upon returning to the base, the interior of the bin can be removed for cleaning and sanitization.</w:t>
      </w:r>
    </w:p>
    <w:p>
      <w:pPr>
        <w:spacing w:after="0" w:line="154" w:lineRule="exact"/>
        <w:rPr>
          <w:rFonts w:ascii="Times New Roman" w:cs="Times New Roman" w:eastAsia="Times New Roman" w:hAnsi="Times New Roman"/>
          <w:sz w:val="16"/>
          <w:szCs w:val="16"/>
          <w:color w:val="auto"/>
        </w:rPr>
      </w:pPr>
    </w:p>
    <w:p>
      <w:pPr>
        <w:jc w:val="both"/>
        <w:ind w:left="880" w:hanging="293"/>
        <w:spacing w:after="0" w:line="270"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Display and Lights</w:t>
      </w:r>
      <w:r>
        <w:rPr>
          <w:rFonts w:ascii="Times New Roman" w:cs="Times New Roman" w:eastAsia="Times New Roman" w:hAnsi="Times New Roman"/>
          <w:sz w:val="16"/>
          <w:szCs w:val="16"/>
          <w:color w:val="auto"/>
        </w:rPr>
        <w:t>: In order to create a user-friendly experience for merchants and customers that requires no training or onboarding, as well as to create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friendly and positive experience for pedestrians and other sidewalk users, Serve’s design includes a touchscreen display for indicating robot status and providing instructions. The design also includes a number of functional lights, including a light ring around the bin, brake lights, front headlights, and a pair of circular eyes for expressing intentions and anthropomorphizing the robots.</w:t>
      </w:r>
    </w:p>
    <w:p>
      <w:pPr>
        <w:spacing w:after="0" w:line="15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Stage of Development — </w:t>
      </w:r>
      <w:r>
        <w:rPr>
          <w:rFonts w:ascii="Times New Roman" w:cs="Times New Roman" w:eastAsia="Times New Roman" w:hAnsi="Times New Roman"/>
          <w:sz w:val="16"/>
          <w:szCs w:val="16"/>
          <w:color w:val="auto"/>
        </w:rPr>
        <w:t>Though still early in their development maturity cycle, Serve robots are the result of over six years of engineering and development. Every day,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continue to work on improving our robots’ capabilities, including making them faster, safer, smarter and more affordable.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list of Serve robots’ current specifications:</w:t>
      </w:r>
    </w:p>
    <w:p>
      <w:pPr>
        <w:sectPr>
          <w:pgSz w:w="11900" w:h="16838" w:orient="portrait"/>
          <w:cols w:equalWidth="0" w:num="1">
            <w:col w:w="11240"/>
          </w:cols>
          <w:pgMar w:left="320" w:top="831" w:right="339" w:bottom="1440" w:gutter="0" w:footer="0" w:header="0"/>
        </w:sectPr>
      </w:pPr>
    </w:p>
    <w:p>
      <w:pPr>
        <w:spacing w:after="0" w:line="209"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6"/>
          <w:szCs w:val="16"/>
          <w:color w:val="auto"/>
        </w:rPr>
        <w:t>Speed</w:t>
      </w:r>
    </w:p>
    <w:p>
      <w:pPr>
        <w:spacing w:after="0" w:line="30"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6"/>
          <w:szCs w:val="16"/>
          <w:color w:val="auto"/>
        </w:rPr>
        <w:t>Range</w:t>
      </w:r>
    </w:p>
    <w:p>
      <w:pPr>
        <w:spacing w:after="0" w:line="12"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6"/>
          <w:szCs w:val="16"/>
          <w:color w:val="auto"/>
        </w:rPr>
        <w:t>Weather</w:t>
      </w:r>
    </w:p>
    <w:p>
      <w:pPr>
        <w:spacing w:after="0" w:line="12"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6"/>
          <w:szCs w:val="16"/>
          <w:color w:val="auto"/>
        </w:rPr>
        <w:t>Autonomy</w:t>
      </w:r>
    </w:p>
    <w:p>
      <w:pPr>
        <w:spacing w:after="0" w:line="12"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6"/>
          <w:szCs w:val="16"/>
          <w:color w:val="auto"/>
        </w:rPr>
        <w:t>Cargo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6"/>
          <w:szCs w:val="16"/>
          <w:color w:val="auto"/>
        </w:rPr>
        <w:t>7 mph (max)</w:t>
      </w:r>
    </w:p>
    <w:p>
      <w:pPr>
        <w:spacing w:after="0" w:line="30"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6"/>
          <w:szCs w:val="16"/>
          <w:color w:val="auto"/>
        </w:rPr>
        <w:t>23 miles, 10 hours</w:t>
      </w:r>
    </w:p>
    <w:p>
      <w:pPr>
        <w:spacing w:after="0" w:line="12"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6"/>
          <w:szCs w:val="16"/>
          <w:color w:val="auto"/>
        </w:rPr>
        <w:t>Light Rain, 32-104°F</w:t>
      </w:r>
    </w:p>
    <w:p>
      <w:pPr>
        <w:spacing w:after="0" w:line="12"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6"/>
          <w:szCs w:val="16"/>
          <w:color w:val="auto"/>
        </w:rPr>
        <w:t>&gt;80% Autonomy Capability</w:t>
      </w:r>
    </w:p>
    <w:p>
      <w:pPr>
        <w:spacing w:after="0" w:line="12"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6"/>
          <w:szCs w:val="16"/>
          <w:color w:val="auto"/>
        </w:rPr>
        <w:t>13 GAL (2 Lg Shopping Bags, 4 Lg Pizzas)</w:t>
      </w:r>
    </w:p>
    <w:p>
      <w:pPr>
        <w:spacing w:after="0" w:line="191" w:lineRule="exact"/>
        <w:rPr>
          <w:sz w:val="20"/>
          <w:szCs w:val="20"/>
          <w:color w:val="auto"/>
        </w:rPr>
      </w:pPr>
    </w:p>
    <w:p>
      <w:pPr>
        <w:sectPr>
          <w:pgSz w:w="11900" w:h="16838" w:orient="portrait"/>
          <w:cols w:equalWidth="0" w:num="2">
            <w:col w:w="4320" w:space="720"/>
            <w:col w:w="6200"/>
          </w:cols>
          <w:pgMar w:left="320" w:top="831" w:right="339" w:bottom="1440" w:gutter="0" w:footer="0" w:header="0"/>
          <w:type w:val="continuous"/>
        </w:sectPr>
      </w:pPr>
    </w:p>
    <w:p>
      <w:pPr>
        <w:jc w:val="both"/>
        <w:spacing w:after="0" w:line="294" w:lineRule="auto"/>
        <w:rPr>
          <w:sz w:val="20"/>
          <w:szCs w:val="20"/>
          <w:color w:val="auto"/>
        </w:rPr>
      </w:pPr>
      <w:r>
        <w:rPr>
          <w:rFonts w:ascii="Times New Roman" w:cs="Times New Roman" w:eastAsia="Times New Roman" w:hAnsi="Times New Roman"/>
          <w:sz w:val="16"/>
          <w:szCs w:val="16"/>
          <w:color w:val="auto"/>
        </w:rPr>
        <w:t>Serve robots are designed to operate in common environmental conditions in each operating market. Currently we limit Serve’s operation to warm and dry climates, and do not operate robots under rare or extreme conditions such as strong storms or unusually high or low temperatures.</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With additional financing required for further development, we expect each new generation of robots to continually expand their operating envelope (e.g., introducing the ability to manage ice and snow), which in turn expands our market reach. Our roadmap includes a new generation of robots launched in 2024 (assuming availability of sufficient capital) that includes faster drivetrain, increased battery life, increased range of temperature and rain tolerance, and more. The efforts towards the new robot generation began earlier this year and will require continued financing to complete.</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Development Process — </w:t>
      </w:r>
      <w:r>
        <w:rPr>
          <w:rFonts w:ascii="Times New Roman" w:cs="Times New Roman" w:eastAsia="Times New Roman" w:hAnsi="Times New Roman"/>
          <w:sz w:val="16"/>
          <w:szCs w:val="16"/>
          <w:color w:val="auto"/>
        </w:rPr>
        <w:t>Our development efforts began in 2017 with extensive market research. Using proprietary historical Postmates delivery data, we ran thousands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simulation scenarios to define desirable robot specifications, best deployment and operation models, as well as go-to market strategies to achieve the most efficient, low-cost and scalable last-mile robotic delivery. The resulting specifications led to the development of prototype robots that were quickly deployed in San Francisco and Los Angeles to learn from real-life operations while serving customers and merchants.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type w:val="continuous"/>
        </w:sectPr>
      </w:pPr>
    </w:p>
    <w:bookmarkStart w:id="72" w:name="page73"/>
    <w:bookmarkEnd w:id="72"/>
    <w:p>
      <w:pPr>
        <w:jc w:val="both"/>
        <w:spacing w:after="0" w:line="269" w:lineRule="auto"/>
        <w:rPr>
          <w:sz w:val="20"/>
          <w:szCs w:val="20"/>
          <w:color w:val="auto"/>
        </w:rPr>
      </w:pPr>
      <w:r>
        <w:rPr>
          <w:rFonts w:ascii="Times New Roman" w:cs="Times New Roman" w:eastAsia="Times New Roman" w:hAnsi="Times New Roman"/>
          <w:sz w:val="16"/>
          <w:szCs w:val="16"/>
          <w:color w:val="auto"/>
        </w:rPr>
        <w:t>Today, every subsequent robot generation and incremental software improvement starts with prototyping, followed by iterative rounds of testing and developments. Prior to deployment, we perform extensive quality assurance testing using an expanding array of predefined validation tests, online simulations, and in-house testing facilities. The validation tests include safety verifications to ensure any new software or hardware is capable of matching or exceeding pre-defined safety standards. When safety verifications fail, additional cycles of development and testing are required.</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Once robots pass pre-deployment testing, a small-scale deployment test is initiated with a representative set of robots. Upon collecting sufficient amounts of performance metrics, the final go/no-go decision is made on whether any new software or hardware will be deployed across the entire fleet.</w:t>
      </w:r>
    </w:p>
    <w:p>
      <w:pPr>
        <w:spacing w:after="0" w:line="13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design and development process is also informed by regulatory requirements in certain geographies, such as a number of states and municipalities, that have implemented permitting frameworks for robotic delivery. The requirements include limits to robot weight, speed, operating conditions, availability of lights and identifying labels, etc. Lastly, there are also hardware design requirements around electromagnetic radiations and battery safety that are considered during the design and development process.</w:t>
      </w:r>
    </w:p>
    <w:p>
      <w:pPr>
        <w:spacing w:after="0" w:line="3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each new generation of hardware that introduces changes to relevant components, we build an initial set of evaluation units and use them to obtain necessary certifications. Currently, the only applicable certification requirement for the operation of sidewalk robots in the United States is UN 38.3. We have identified additional certifications that may become required for the operation of sidewalk robots in the United States in the future and have accounted for these certifications in the design and test of our devices.</w:t>
      </w:r>
    </w:p>
    <w:p>
      <w:pPr>
        <w:spacing w:after="0" w:line="35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Manufacturing — </w:t>
      </w:r>
      <w:r>
        <w:rPr>
          <w:rFonts w:ascii="Times New Roman" w:cs="Times New Roman" w:eastAsia="Times New Roman" w:hAnsi="Times New Roman"/>
          <w:sz w:val="16"/>
          <w:szCs w:val="16"/>
          <w:color w:val="auto"/>
        </w:rPr>
        <w:t>Our robots are designed by Serve’s high caliber team of mechanical, electrical, and system engineers to not only meet product requirements but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supply availability of components and manufacturing and assembly for scalability.</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Finally, manufacturing and assembly of robots take place by a third-party contract manufacturer after component supply has been secured. We have proven, first-hand experience designing and assembling multiple generations of Serve robots and we believe our designs are highly manufacturable for contract manufacturers to outsource. Therefore, we are not dependent on any particular outsourcing partner and we are, instead, able to vet top tier contract manufacturers for their DFM (Design for Manufacturing) capabilities and leverage their existing scale to assemble robots in the most cost-effective and timely manner. This typically starts with SMT (Surface Mount Technology) pick and place machines to assemble PCBAs (Printed Circuit Board Assemblies) in batches followed by FATP (Final Assembly Test &amp; Pack) on all the remaining components by subassemblies into fully completed robots before being shipped out and deployed into our markets.</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most recent batch of Serve robots was assembled by a tier 1 contract manufacturer in California within a few months and came in at our highest yield and throughput, all at a manufacturing cost that makes up a small fraction of our total robot cost. This speaks to our ability to design and execute with all our component suppliers and contract manufacturers and we expect to improve even further as we scale with higher volumes.</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plan to use contract manufacturing partners to build future robots. Our goal is to secure adequate funding and resources to begin scaling our fleet starting with a fleet of 2,000 robots deployed for Uber before the end of 2025. We currently do not expect to be able to build and deploy robots in 2024 based on our existing capital.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73" w:name="page74"/>
    <w:bookmarkEnd w:id="73"/>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are party to a Lease Agreement with Farnam Street Financial, Inc. (“Farnam”) dated as of June 6, 2022 (the “Farnam Lease”), pursuant to which we lease the hardware of our robots. The Farnam Lease had an initial term of 24 months, which was modified in December 2023 to provide for a term of 15 months beginning on January 1, 2024. Pursuant to the Farnam Lease we have a purchase option allowing us to purchase the equipment subject to the Farnam Lease on the last day of the extended lease term, (i) in whole for 45% of the original equipment cost, plus applicable taxes, subject to certain conditions or (ii) in part for 20% of the original equipment cost, plus applicable taxes, subject to a renewal of the Farnam Lease for an additional 12 months. The Farnam Lease also includes a right of first refusal requiring us to notify Farnam of any bona fide offer from a third party to lease robots to us (a “Third-Party Offer”) which we intend to accept. Prior to accepting such an offer, we must make an offer to Farnam on the same terms and conditions as the Third-Party Offer. This right of first refusal expires concurrently with the Farnam Lease.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Robots That Win Hearts and Minds</w:t>
      </w:r>
    </w:p>
    <w:p>
      <w:pPr>
        <w:spacing w:after="0" w:line="21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New technologies often face initial resistance and skepticism before becoming widely accepted. We believe delivery robots are no exception. As such, we have invested significant time and effort in creating robots that would be welcomed by society. Our years of commercial operations to date suggest we are on track to accomplish our mission.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order to make robots acceptable by the public, we set out our design efforts with a number of key objectives:</w:t>
      </w:r>
    </w:p>
    <w:p>
      <w:pPr>
        <w:spacing w:after="0" w:line="209" w:lineRule="exact"/>
        <w:rPr>
          <w:sz w:val="20"/>
          <w:szCs w:val="20"/>
          <w:color w:val="auto"/>
        </w:rPr>
      </w:pPr>
    </w:p>
    <w:p>
      <w:pPr>
        <w:ind w:left="880" w:right="20" w:hanging="293"/>
        <w:spacing w:after="0" w:line="294"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familiar: Our robot design is inspired by familiar sidewalk objects such as baby strollers and shopping carts. Unfamiliar form factors can elicit strong resistance, whereas familiar-looking robots with blinking eyes and personalized names seem to already belong.</w:t>
      </w:r>
    </w:p>
    <w:p>
      <w:pPr>
        <w:spacing w:after="0" w:line="138" w:lineRule="exact"/>
        <w:rPr>
          <w:rFonts w:ascii="Times New Roman" w:cs="Times New Roman" w:eastAsia="Times New Roman" w:hAnsi="Times New Roman"/>
          <w:sz w:val="16"/>
          <w:szCs w:val="16"/>
          <w:color w:val="auto"/>
        </w:rPr>
      </w:pPr>
    </w:p>
    <w:p>
      <w:pPr>
        <w:jc w:val="both"/>
        <w:ind w:left="880" w:hanging="293"/>
        <w:spacing w:after="0" w:line="269"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fresh: First impressions are lasting impressions. Thanks to decades of negative and dystopian portrayal of robots in science fiction, introducing robots to the public requires a strong first impression that would encourage a readjustment in existing preconceptions. One way to achieve this is by creating a robot design that is pleasantly surprising and unexpected, so that it would bring into question whatever fearful or dystopian views one might hold prior to meeting a Serve robot in person.</w:t>
      </w:r>
    </w:p>
    <w:p>
      <w:pPr>
        <w:spacing w:after="0" w:line="156" w:lineRule="exact"/>
        <w:rPr>
          <w:rFonts w:ascii="Times New Roman" w:cs="Times New Roman" w:eastAsia="Times New Roman" w:hAnsi="Times New Roman"/>
          <w:sz w:val="16"/>
          <w:szCs w:val="16"/>
          <w:color w:val="auto"/>
        </w:rPr>
      </w:pPr>
    </w:p>
    <w:p>
      <w:pPr>
        <w:jc w:val="both"/>
        <w:ind w:left="880" w:right="20" w:hanging="293"/>
        <w:spacing w:after="0" w:line="275"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deferential: We believe robots are here to serve people, and therefore during everyday interactions on city sidewalks, robots must make every effort to stay respectful and compliant of people they share space with. For example, when their motion trajectory conflicts with a person, robots should always yield and prioritize people.</w:t>
      </w:r>
    </w:p>
    <w:p>
      <w:pPr>
        <w:spacing w:after="0" w:line="152" w:lineRule="exact"/>
        <w:rPr>
          <w:rFonts w:ascii="Times New Roman" w:cs="Times New Roman" w:eastAsia="Times New Roman" w:hAnsi="Times New Roman"/>
          <w:sz w:val="16"/>
          <w:szCs w:val="16"/>
          <w:color w:val="auto"/>
        </w:rPr>
      </w:pPr>
    </w:p>
    <w:p>
      <w:pPr>
        <w:jc w:val="both"/>
        <w:ind w:left="880" w:right="20" w:hanging="293"/>
        <w:spacing w:after="0" w:line="275"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considerate: Sidewalks are a shared space where people from every walk of life, language, and physical ability come together. Robots must be designed with all users of public spaces in mind. For example, while waiting to cross an intersection, our robots are trained to avoid blocking curb ramps needed by wheelchairs.</w:t>
      </w:r>
    </w:p>
    <w:p>
      <w:pPr>
        <w:spacing w:after="0" w:line="152" w:lineRule="exact"/>
        <w:rPr>
          <w:rFonts w:ascii="Times New Roman" w:cs="Times New Roman" w:eastAsia="Times New Roman" w:hAnsi="Times New Roman"/>
          <w:sz w:val="16"/>
          <w:szCs w:val="16"/>
          <w:color w:val="auto"/>
        </w:rPr>
      </w:pPr>
    </w:p>
    <w:p>
      <w:pPr>
        <w:ind w:left="880" w:right="20" w:hanging="293"/>
        <w:spacing w:after="0" w:line="294"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talented design team has applied the above principles as they studied human-robot interactions on sidewalks, and they have created a robot design that stands in a class of its own.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Strategy</w:t>
      </w:r>
    </w:p>
    <w:p>
      <w:pPr>
        <w:spacing w:after="0" w:line="21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After six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strategy relies on providing partners with a complete end-to-end delivery solution and charging a fee per delivery—or per hour depending on the type of partnership.</w:t>
      </w:r>
    </w:p>
    <w:p>
      <w:pPr>
        <w:spacing w:after="0" w:line="15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Additionally, robots can perform other value-add tasks while in operation and capture additional revenues. For example, in 2022 while roughly 50% of our revenue was generated by delivery fees on the Uber Eats platform, the other 50% was generated through branding. Brands have used out-of-home (“OOH”) branding on transit vehicles since the age of streetcars in the 1800s. Similar to billboards and buses today, brands are placing ads on Serve robots’ exteriors.</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74" w:name="page75"/>
    <w:bookmarkEnd w:id="74"/>
    <w:p>
      <w:pPr>
        <w:jc w:val="both"/>
        <w:spacing w:after="0" w:line="269" w:lineRule="auto"/>
        <w:rPr>
          <w:sz w:val="20"/>
          <w:szCs w:val="20"/>
          <w:color w:val="auto"/>
        </w:rPr>
      </w:pPr>
      <w:r>
        <w:rPr>
          <w:rFonts w:ascii="Times New Roman" w:cs="Times New Roman" w:eastAsia="Times New Roman" w:hAnsi="Times New Roman"/>
          <w:sz w:val="16"/>
          <w:szCs w:val="16"/>
          <w:color w:val="auto"/>
        </w:rPr>
        <w:t>We anticipate additional revenue opportunities from delivery robots in the future. For example, the ability to license our technology to partners who wish to create their own robots for other applications, including our anticipated agreement with Magna. Additionally, robots can provide a new, more granular and timely data source to mapping providers. They can also enable cities to identify infrastructure problems. As robots become more common, we expect to identify new ways for robots to create value while operating.</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New revenues from robot branding and other services supplement delivery revenues, and as a result position delivery robots with better economics compared with existing delivery solutions.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Partnerships</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operate a fleet of robots that perform deliveries for delivery platforms or partnered merchants as either a part of a shared fleet or dedicated, exclusive fleet. For our robots to perform deliveries, they would need to have some level of integration with our partners’ platforms in order to receive an order, determine its suitability for robotic delivery, accept or reject that order, and provide status updates and notifications to the merchants and recipients throughout the course of the delivery.</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All of our currently active commercial robotic delivery engagements are based on the shared fleet model, whereby a partner sends us their request for robotic delivery and only pays us for those requests we choose to accept and complete. In the current shared fleet model, we have legal custody of the robots and maintain and operate them at all times, receiving payment for performing deliveries and placement of advertising on our robots while incurring all costs and risks relating to the robots and their operation. We may explore other partnership paradigms in the future, such as providing an exclusive fleet to a partner who would maintain and house the robots and pay us a monthly fee for operations and rental of the robots.</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In 2021, we signed a commercial agreement with Uber.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Uber launched its first-of-a-kind autonomy application programming interface in August 2022, with Serve as one of its first integrated partners. Since last year, we have completed thousands of deliveries for Uber Eats customers in Los Angeles and continue to expand our operations. Uber is also a strategic investor in Serve and has participated in multiple financing rounds, and as a result it owns a minority stake in our company.</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addition to Uber and 7-Eleven, Serve has performed pilots for Walmart at its headquarters in Bentonville, Arkansas, for a major pizza quick service restaurant in Vancouver, Canada, and for a major coffee shop chain in Los Angeles, California. All three pilots were successful in achieving their respective targeted performance criteria and the next phase of our engagement with those parties are subject to further negotiations.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Serve is also in discussions with Delivery Hero, also a strategic investor, to identify suitable markets outside North America to launch their first deployment.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Lastly, Serve is at various stages of discussions with a number of other restaurant brands, restaurant integrator platforms, delivery platforms, and logistics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Traction</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With a fleet of over 100 robots as of December 31, 2023, we provide robotic delivery to more than 300 restaurants on the Uber Eats platform in a number of neighborhoods in Los Angeles. To date, we have completed tens of thousands of deliveries to Uber Eats customers and our delivery volume has grown over 25% month-over-month since early 2022.</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Serve robots’ delivery reliability is most notable. Our proprietary historical delivery data suggest that on average, human couriers fail to complete five or more orders per every 1,000 deliveries (i.e., 99.5% reliability). In contrast, in the most recent month, Serve robots have achieved a delivery reliability as high as 99.94%. Improved delivery quality enhances both customers’ and restaurants’ experiences, and reduces the added cost of refunds caused by courier error.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75" w:name="page76"/>
    <w:bookmarkEnd w:id="75"/>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By rapidly growing our delivery volume and proving that our robots are more reliable than human couriers, we have successfully concluded the pilot phase of our partnership with Uber and signed an agreement to deploy up to 2,000 robots across the United States. Our goal is to deploy those robots in 2025, conditioned on securing required capital. We currently do not expect to be able to build and deploy robots in 2024 based on our existing capital.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Growth Strategy</w:t>
      </w:r>
    </w:p>
    <w:p>
      <w:pPr>
        <w:spacing w:after="0" w:line="21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We plan to continue growing our delivery operations and establish Serve as the de facto global leader in automated last mile delivery. Our growth will be facilitated by continued investment in our hardware, software and AI developments that increase the performance and efficiency of our fleet.</w:t>
      </w:r>
    </w:p>
    <w:p>
      <w:pPr>
        <w:spacing w:after="0" w:line="13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Over the next 24 months, we plan to grow our operation fleet by 10 times and operate in at least two markets. To do this, we must first secure additional capital. Our existing partnerships enable us to access sufficient demand for our projected growth over that period and beyond.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we plan to continue partnership discussions with a number of food and grocery brands, as well as other delivery and restaurant ordering platforms.</w:t>
      </w:r>
    </w:p>
    <w:p>
      <w:pPr>
        <w:spacing w:after="0" w:line="20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Currently, we do not have plans to expand operations beyond the United States and Canada, but we do engage in partnership discussions from time to time to evaluate the potential to expand into different geographies.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Investments and Relationships</w:t>
      </w:r>
    </w:p>
    <w:p>
      <w:pPr>
        <w:spacing w:after="0" w:line="21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In addition to revenue partnerships, we have developed strategic relations and collaborate with market leaders in robotics and delivery. Such collaborations have allowed us to improve our product, accelerate our growth, explore new market opportunities, and access additional capital.</w:t>
      </w:r>
    </w:p>
    <w:p>
      <w:pPr>
        <w:spacing w:after="0" w:line="13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NVIDIA — </w:t>
      </w:r>
      <w:r>
        <w:rPr>
          <w:rFonts w:ascii="Times New Roman" w:cs="Times New Roman" w:eastAsia="Times New Roman" w:hAnsi="Times New Roman"/>
          <w:sz w:val="16"/>
          <w:szCs w:val="16"/>
          <w:color w:val="auto"/>
        </w:rPr>
        <w:t>A leading provider of high-performance GPU computing chips, NVIDIA is an early technology collaborator of Serve. We have worked with NVIDIA’s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robotics and engineering teams for over five years. Since 2022, NVIDIA has invested over $12 million in Serve.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Delivery Hero SE — </w:t>
      </w:r>
      <w:r>
        <w:rPr>
          <w:rFonts w:ascii="Times New Roman" w:cs="Times New Roman" w:eastAsia="Times New Roman" w:hAnsi="Times New Roman"/>
          <w:sz w:val="16"/>
          <w:szCs w:val="16"/>
          <w:color w:val="auto"/>
        </w:rPr>
        <w:t>A German multinational online food ordering platform with significant presence in Europe and Asia, Delivery Hero is also an early investor of Serve.</w:t>
      </w:r>
    </w:p>
    <w:p>
      <w:pPr>
        <w:spacing w:after="0" w:line="2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Uber Technologies, Inc. — </w:t>
      </w:r>
      <w:r>
        <w:rPr>
          <w:rFonts w:ascii="Times New Roman" w:cs="Times New Roman" w:eastAsia="Times New Roman" w:hAnsi="Times New Roman"/>
          <w:sz w:val="16"/>
          <w:szCs w:val="16"/>
          <w:color w:val="auto"/>
        </w:rPr>
        <w:t>As discussed earlier, Uber holds a minority stake in Serve by contributing Serve’s initial IP and assets developed at Postmates X, as well as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participating in multiple financing rounds. Uber is a key commercial partner and has enabled us to reach hundreds of restaurants and thousands of customers within weeks of launching on their platform.</w:t>
      </w:r>
    </w:p>
    <w:p>
      <w:pPr>
        <w:spacing w:after="0" w:line="14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7-Eleven Inc. and 7-Ventures, LLC </w:t>
      </w:r>
      <w:r>
        <w:rPr>
          <w:rFonts w:ascii="Times New Roman" w:cs="Times New Roman" w:eastAsia="Times New Roman" w:hAnsi="Times New Roman"/>
          <w:sz w:val="16"/>
          <w:szCs w:val="16"/>
          <w:color w:val="auto"/>
        </w:rPr>
        <w:t>— Global convenience retailer with over 13,000 locations in the US and Canada, 7-Eleven is another early strategic investor in Serve.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partnership discussions began in 2020 when Serve was a part of Postmates. 7-Eleven is our first foray into the convenience market, as well as our first direct</w:t>
      </w:r>
    </w:p>
    <w:p>
      <w:pPr>
        <w:jc w:val="both"/>
        <w:ind w:right="20"/>
        <w:spacing w:after="0" w:line="208" w:lineRule="auto"/>
        <w:rPr>
          <w:sz w:val="20"/>
          <w:szCs w:val="20"/>
          <w:color w:val="auto"/>
        </w:rPr>
      </w:pPr>
      <w:r>
        <w:rPr>
          <w:rFonts w:ascii="Times New Roman" w:cs="Times New Roman" w:eastAsia="Times New Roman" w:hAnsi="Times New Roman"/>
          <w:sz w:val="16"/>
          <w:szCs w:val="16"/>
          <w:color w:val="auto"/>
        </w:rPr>
        <w:t>integration with a retail chain. 7-Ventures, LLC, is an investment firm which operates as the venture capital arm of 7-Eleven</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The firm invests primarily in companies with emerging retail technology, consumer-focused services, and disruptive CPG products that complement 7-Eleven’s legacy of innovation.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the existing partnerships, we are in discussions with other potential strategic partners that would enable us to grow faster and reach more customers.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Economics of Robotic Delivery</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unit cost of robotic delivery can be divided into two major components: labor costs related to fleet management personnel (remote supervision, field operations, and hardware operations) and costs related to the robots (licensed software, mobile data fees, and robot lease payments). In our shared fleet model, both labor and robot costs are incurred by us.</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two most important drivers of delivery cost efficiency are autonomy and robot utilization. Increased autonomy reduces the cost of labor by increasing the number of deliveries per remote supervisor and field operator. Similarly, increasing robot utilization (i.e., number of deliveries per robot per day) leads to lower per delivery cost as fixed costs would be divided over more deliveries, and labor would be more efficiently leveraged.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cost drivers include hardware amortization period, upfront capital costs, and hourly wages for field and remote operations.</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It is worth noting the importance of the amortization period in hardware design choices. Designing a more durable robot, as well as using reusable components, will help reduce the cost of delivery. For example, LIDAR sensors and GPU computers have a higher initial cost of capital, and as such some have decided against using them; however, they are long-lasting components that can be amortized over a number of years, and most importantly, they increase autonomy performance and reduce the more significant labor costs.</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Besides increasing autonomy performance and robot utilization, achieving operational profitability requires scaling the fleet. Scaled operations allow labor to be more efficiently utilized, while building robots at a higher volume also reduces the unit cost of hardware.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There are existing direct competitors in the sidewalk robotic space including Kiwibot, Starship Technologies, Coco, and Cartken. Kiwibot and Starship primarily focus on college campuses. College campus environments are smaller markets compared to our target market of urban environments. According to the Education Data Initiative, nearly 18 million students were enrolled in American colleges in 2022, compared to over 274 million people who live in urban environments according to University of Michigan’s Center for Sustainable Systems.</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Similar to Serve, Coco focuses on urban delivery but does not have a direct marketplace integration with a major third-party delivery platform, significantly constraining its ability to scale. Integrating with an existing delivery marketplace such as Uber Eats allows Serve to reach customers and merchants in new markets quickly and cost-efficiently without the need to sign every merchant and acquire every customer. Direct marketplace integration also increases robot utilization, and as a result, reduces cost per delivery by increasing the pool of deliveries available to robots and ensuring they are more likely to receive delivery assignments well suited for robots. Direct marketplace integration also benefits marketplaces by reducing their cost per delivery.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Finally, Coco lacks advanced autonomy and requires a human remote operator to drive each robot at all times, diminishing cost-effectiveness, scalability, and safety.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Cartken is a newer entrant to the space with limited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Positioned for Success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our world-class team, superior technology, and market-leading partnerships position us well to be a leader in the robotic delivery race.</w:t>
      </w:r>
    </w:p>
    <w:p>
      <w:pPr>
        <w:spacing w:after="0" w:line="2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Our approach to product development and go-to-market strategy has been informed by the proprietary historical delivery data we had the privilege to access inside Postmates. We developed sophisticated simulation tools to anticipate the dynamics of robotic delivery, and design our hardware, software and operations accordingly.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color w:val="auto"/>
        </w:rPr>
        <w:t>As a result of our access to proprietary data, we have created the following:</w:t>
      </w:r>
    </w:p>
    <w:p>
      <w:pPr>
        <w:spacing w:after="0" w:line="209" w:lineRule="exact"/>
        <w:rPr>
          <w:sz w:val="20"/>
          <w:szCs w:val="20"/>
          <w:color w:val="auto"/>
        </w:rPr>
      </w:pPr>
    </w:p>
    <w:p>
      <w:pPr>
        <w:ind w:left="880" w:hanging="293"/>
        <w:spacing w:after="0" w:line="294"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Unique Robot: We have designed a one-of-a-kind robot, purpose-built for last mile urban delivery, with a uniquely suitable drivetrain, battery life, cargo design, and more.</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Best-in-Class Autonomy: Having understood the importance of autonomy for profitable unit economics from early simulations, we invested considerably in suitable sensors, computing stack, and AI models to achieve Level 4 autonomous capability.</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Fastest, Most Scalable Go-to-Market: We have led competition in our go-to-market approach in urban environments, with the largest number of restaurant partners and highest density of partners per geographic region.</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Highest Robot Utilization: We have achieved higher robot utilization than other robotic delivery providers, as a result of our robot design, partnership strategy and integrations.</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Efficient Unit Economics: Leading in autonomy and robot utilization results in cheaper delivery economics.</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Safest: Our robots are equipped with the most sophisticated sensors, more redundancy in sensing than competition, and more robust safety features such as mechanical fail-safe braking.</w:t>
      </w:r>
    </w:p>
    <w:p>
      <w:pPr>
        <w:spacing w:after="0" w:line="13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In addition to having the best-in-class technology, strongest strategic partnerships, and significant deployment contracts, we have also assembled a high integrity, talented team, with a wealth of experience and a history of execution in creating innovative products and businesses.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Values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Serve is a mission-driven company based on a set of values that drive who we are and what we do:</w:t>
      </w:r>
    </w:p>
    <w:p>
      <w:pPr>
        <w:spacing w:after="0" w:line="20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Empower People — </w:t>
      </w:r>
      <w:r>
        <w:rPr>
          <w:rFonts w:ascii="Times New Roman" w:cs="Times New Roman" w:eastAsia="Times New Roman" w:hAnsi="Times New Roman"/>
          <w:sz w:val="16"/>
          <w:szCs w:val="16"/>
          <w:color w:val="auto"/>
        </w:rPr>
        <w:t>We serve our neighborhoods and support local businesses. We go beyond self-interest, taking our community into account. We empower each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trust and autonomy to solve big problems to build a sustainable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Passionate, Authentic and Kind — </w:t>
      </w:r>
      <w:r>
        <w:rPr>
          <w:rFonts w:ascii="Times New Roman" w:cs="Times New Roman" w:eastAsia="Times New Roman" w:hAnsi="Times New Roman"/>
          <w:sz w:val="16"/>
          <w:szCs w:val="16"/>
          <w:color w:val="auto"/>
        </w:rPr>
        <w:t>We are mission driven. We value each other. We celebrate milestones and moments, both at Serve and in our personal lives.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Trustworthy — </w:t>
      </w:r>
      <w:r>
        <w:rPr>
          <w:rFonts w:ascii="Times New Roman" w:cs="Times New Roman" w:eastAsia="Times New Roman" w:hAnsi="Times New Roman"/>
          <w:sz w:val="16"/>
          <w:szCs w:val="16"/>
          <w:color w:val="auto"/>
        </w:rPr>
        <w:t>We operate with integrity. We do what we say we will do. We are honest, transparent, and respectful.</w:t>
      </w:r>
    </w:p>
    <w:p>
      <w:pPr>
        <w:spacing w:after="0" w:line="20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Safety Is Not Negotiable — </w:t>
      </w:r>
      <w:r>
        <w:rPr>
          <w:rFonts w:ascii="Times New Roman" w:cs="Times New Roman" w:eastAsia="Times New Roman" w:hAnsi="Times New Roman"/>
          <w:sz w:val="16"/>
          <w:szCs w:val="16"/>
          <w:color w:val="auto"/>
        </w:rPr>
        <w:t>We set the standard for safety. Our goal is to eliminate risks to safety. Our commitment goes beyond the sidewalk—we protect our customers’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data, our employees, and the public.</w:t>
      </w:r>
    </w:p>
    <w:p>
      <w:pPr>
        <w:spacing w:after="0" w:line="12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Take Ownership, Give Credit — </w:t>
      </w:r>
      <w:r>
        <w:rPr>
          <w:rFonts w:ascii="Times New Roman" w:cs="Times New Roman" w:eastAsia="Times New Roman" w:hAnsi="Times New Roman"/>
          <w:sz w:val="16"/>
          <w:szCs w:val="16"/>
          <w:color w:val="auto"/>
        </w:rPr>
        <w:t>It’s not mine, it’s not yours, it’s ours. We solve big audacious problems working together as a distributed, cross-functional team. We take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pride in the quality of our work and no task is beneath us.</w:t>
      </w:r>
    </w:p>
    <w:p>
      <w:pPr>
        <w:spacing w:after="0" w:line="12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 xml:space="preserve">Put the Marshmallow on Top — </w:t>
      </w:r>
      <w:r>
        <w:rPr>
          <w:rFonts w:ascii="Times New Roman" w:cs="Times New Roman" w:eastAsia="Times New Roman" w:hAnsi="Times New Roman"/>
          <w:sz w:val="16"/>
          <w:szCs w:val="16"/>
          <w:color w:val="auto"/>
        </w:rPr>
        <w:t>We are humbled by unknowns, not defeated. We see opportunity in ambiguity. We don’t need turn-by-turn directions, but plan our own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routes and even scout for others. We embrace experimentation in the face of uncertainty.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Find Truth on the Sidewalk — </w:t>
      </w:r>
      <w:r>
        <w:rPr>
          <w:rFonts w:ascii="Times New Roman" w:cs="Times New Roman" w:eastAsia="Times New Roman" w:hAnsi="Times New Roman"/>
          <w:sz w:val="16"/>
          <w:szCs w:val="16"/>
          <w:color w:val="auto"/>
        </w:rPr>
        <w:t>We experiment rapidly and discover eagerly in the real world. We move fast, gather data, and learn by delivering.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Deliver Delight — </w:t>
      </w:r>
      <w:r>
        <w:rPr>
          <w:rFonts w:ascii="Times New Roman" w:cs="Times New Roman" w:eastAsia="Times New Roman" w:hAnsi="Times New Roman"/>
          <w:sz w:val="16"/>
          <w:szCs w:val="16"/>
          <w:color w:val="auto"/>
        </w:rPr>
        <w:t>Both to our customers or to each other! We exceed customer expectations. We bring joy to our work and to our neighborhoods.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color w:val="auto"/>
        </w:rPr>
        <w:t>Environmental Impact</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Based on our internal data, we estimate that over 95% of deliveries completed by Serve robots over the last year would otherwise be performed by personal vehicles. At scale, we estimate that delivery robots can reduce global GHG emissions by nearly 762 megatons annually by replacing deliveries by personal vehicles, which represents approximately 2% reduction in the 37.15 billion metric tons of global emissions (Global Carbon Project).</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According to the International Energy Agency, 3.53 billion metric tons of CO2 were emitted by passenger vehicles in 2022. Assuming the 2017 estimate by the Bureau of Transportation Statistics that 45% of car trips were taken for shopping and errands, and our proprietary delivery data indicating half of all shopping trips can be completed by delivery robots, this suggests that the scaled use of robotic delivery could reduce global passenger car emissions of such trips from approximately 794 megatons to less than 32 megatons per year, which is a reduction of over 96% as estimated by a study published in Transportation Research Part D: Transport and Environment (Volume 85, August 2020, 102443).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Regulations</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the United States, by default delivery robots are allowed to operate on sidewalks.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spacing w:after="0" w:line="149" w:lineRule="exact"/>
        <w:rPr>
          <w:sz w:val="20"/>
          <w:szCs w:val="20"/>
          <w:color w:val="auto"/>
        </w:rPr>
      </w:pPr>
    </w:p>
    <w:p>
      <w:pPr>
        <w:jc w:val="both"/>
        <w:ind w:left="880" w:hanging="293"/>
        <w:spacing w:after="0" w:line="278"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Robots Inherently Safer: </w:t>
      </w:r>
      <w:r>
        <w:rPr>
          <w:rFonts w:ascii="Times New Roman" w:cs="Times New Roman" w:eastAsia="Times New Roman" w:hAnsi="Times New Roman"/>
          <w:sz w:val="16"/>
          <w:szCs w:val="16"/>
          <w:color w:val="auto"/>
        </w:rPr>
        <w:t>Cars carry over 1,000 times more kinetic energy than robots. As a result of having much lower kinetic energy, robots do not pose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same risk for injury or fatality that cars do. Meanwhile, cars injure and kill thousands of pedestrians and cyclists each year. Removing unnecessary car trips can make cities safer for pedestrians and cyclists.</w:t>
      </w:r>
    </w:p>
    <w:p>
      <w:pPr>
        <w:spacing w:after="0" w:line="145"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Robots Reduce Emissions: </w:t>
      </w:r>
      <w:r>
        <w:rPr>
          <w:rFonts w:ascii="Times New Roman" w:cs="Times New Roman" w:eastAsia="Times New Roman" w:hAnsi="Times New Roman"/>
          <w:sz w:val="16"/>
          <w:szCs w:val="16"/>
          <w:color w:val="auto"/>
        </w:rPr>
        <w:t>Many cities have established targets for reducing carbon emissions, and robots can help advance their environmental initiatives.</w:t>
      </w:r>
    </w:p>
    <w:p>
      <w:pPr>
        <w:spacing w:after="0" w:line="208" w:lineRule="exact"/>
        <w:rPr>
          <w:rFonts w:ascii="Times New Roman" w:cs="Times New Roman" w:eastAsia="Times New Roman" w:hAnsi="Times New Roman"/>
          <w:sz w:val="16"/>
          <w:szCs w:val="16"/>
          <w:color w:val="auto"/>
        </w:rPr>
      </w:pPr>
    </w:p>
    <w:p>
      <w:pPr>
        <w:ind w:left="880" w:hanging="293"/>
        <w:spacing w:after="0" w:line="300"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Robots Reduce Congestion: </w:t>
      </w:r>
      <w:r>
        <w:rPr>
          <w:rFonts w:ascii="Times New Roman" w:cs="Times New Roman" w:eastAsia="Times New Roman" w:hAnsi="Times New Roman"/>
          <w:sz w:val="16"/>
          <w:szCs w:val="16"/>
          <w:color w:val="auto"/>
        </w:rPr>
        <w:t>Deliveries often originate in high traffic regions where restaurants and shops tend to be located. As a result, removing delivery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 traffic can reduce congestion and parking issues in cities.</w:t>
      </w:r>
    </w:p>
    <w:p>
      <w:pPr>
        <w:spacing w:after="0" w:line="129" w:lineRule="exact"/>
        <w:rPr>
          <w:rFonts w:ascii="Times New Roman" w:cs="Times New Roman" w:eastAsia="Times New Roman" w:hAnsi="Times New Roman"/>
          <w:sz w:val="16"/>
          <w:szCs w:val="16"/>
          <w:color w:val="auto"/>
        </w:rPr>
      </w:pPr>
    </w:p>
    <w:p>
      <w:pPr>
        <w:ind w:left="880" w:hanging="293"/>
        <w:spacing w:after="0" w:line="300"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Robots Reduce Delivery Cost for Local Merchants: </w:t>
      </w:r>
      <w:r>
        <w:rPr>
          <w:rFonts w:ascii="Times New Roman" w:cs="Times New Roman" w:eastAsia="Times New Roman" w:hAnsi="Times New Roman"/>
          <w:sz w:val="16"/>
          <w:szCs w:val="16"/>
          <w:color w:val="auto"/>
        </w:rPr>
        <w:t>Recently, a number of cities have implemented restrictions on how much delivery platforms can charge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restaurants for their services. Robots can offer a cheaper alternative to help local restaurants and merchants reduce their delivery costs.</w:t>
      </w:r>
    </w:p>
    <w:p>
      <w:pPr>
        <w:spacing w:after="0" w:line="13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are currently operational in West Hollywood, CA and Los Angeles, CA and hold requisite permits with both cities. Other states and municipalities across the United States may have legal requirements for PDD deployment, but they are not applicable to our operations at this time.</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West Hollywood’s PDD permitting program is administered via a Call for Application and subsequent procurement process. Serve Robotics submitted an application and received an operating permit as of September 2022. The permit limits operation to twenty (20) or fewer robots and requires monthly submission of a report outlining incidents, geographic data, and areas for infrastructure improvement within the city.</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Under Municipal Code Section 71.30, the Los Angeles Department of Transportation is empowered to enact a PDD pilot program. These rules include size and weight requirements, speed limits, 3-1-1 integration, braille identifying markers on the devices, integration with the Mobility Data Specification for location reporting, and regular communication of incidents that may take place.</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California currently has no statewide requirements governing the operation of PDDs. Under California Health and Safety Code Sections 113982 and 113930.5, restaurants that deliver meals by means of third-party delivery services are required to use tamper evident packaging. Additionally, the Los Angeles County Department of Public Health provides guidance on food delivery and pickup by third party delivery service drivers. However, there are currently no requirements specifically addressing automated and robotic delivery vehicles such as PDDs.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79" w:name="page80"/>
    <w:bookmarkEnd w:id="79"/>
    <w:p>
      <w:pPr>
        <w:jc w:val="both"/>
        <w:spacing w:after="0" w:line="267" w:lineRule="auto"/>
        <w:rPr>
          <w:sz w:val="20"/>
          <w:szCs w:val="20"/>
          <w:color w:val="auto"/>
        </w:rPr>
      </w:pPr>
      <w:r>
        <w:rPr>
          <w:rFonts w:ascii="Times New Roman" w:cs="Times New Roman" w:eastAsia="Times New Roman" w:hAnsi="Times New Roman"/>
          <w:sz w:val="16"/>
          <w:szCs w:val="16"/>
          <w:color w:val="auto"/>
        </w:rPr>
        <w:t>As we expand our operations, we will continue to engage with local municipalities and regulators, to collaboratively introduce our innovative technology to new communities.</w:t>
      </w:r>
    </w:p>
    <w:p>
      <w:pPr>
        <w:spacing w:after="0" w:line="3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Currently, hardware certification requirements for sidewalk robots in the United States include the UN 38.3, which Serve robots are in compliance with. We have identified additional certifications that may become required for the operation of sidewalk robots in the United States in the future and have accounted for these certifications in the design and test of our devices.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success and ability to compete are significantly dependent on our core technology and intellectual property. We have applied for 18 patents in various jurisdictions: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(1 patent), the United States (11 patents), Canada (6 patents), and through the Patent Cooperation Treaty.</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have thus far been granted nine of the 18 patents for which we have applied—4 in the United States, 4 in Canada and 1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Legal protections afford only limited protection for our technology. 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Despite our best efforts, our means of protecting our proprietary rights may be inadequate. It is possible that our current patents, or patents we later acquire, may be successfully challenged or invalidated in whole or in part. It is also possible 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will harm or altogether preclude our ability to do business. Moreover, unauthorized parties and our competitors may either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 and Human Capital Resources</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As of December 31, 2023, we have 59 employees in the United States and 10 employees in Canada through our wholly-owned Canadian subsidiary. By primary job function, about 70% of our employees have engineering or product roles, 25% are in operations and 6% have business development or other administrative roles. None of our employees is represented by a labor union or covered by a collective bargaining agreement. We consider our relationship with our employees to be good.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i w:val="1"/>
          <w:iCs w:val="1"/>
          <w:color w:val="auto"/>
        </w:rPr>
        <w:t>Competitive Pay and Benefits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provide compensation and benefits packages that we believe are competitive within our industry. We use a combination of cash and equity compensation and other benefits to attract, motivate and retain our employees, including stock option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Recruitment, Retention, and Development</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believe our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Diversity, Equity, and Inclusion</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value the uniqueness that an inclusive and diverse team brings to our company. Therefore, we are focused on creating an environment that leverages the perspectives and contributions of each employee.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Safety, Health, and Wellness</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prioritize safe working conditions. We are committed to an injury-free workplace and provide comprehensive workplace training and support to reduce or eliminate health and safety risks.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current headquarters are located in Redwood City, California, where we lease 4,200 square feet of office and industrial space pursuant to a lease that expires in 2025. We have an option to extend that lease by a four-year term. Our headquarters contain research and development, operations and selling, general and administrative functions as well as test tracks for our robots. We also lease two other offices in Los Angeles, our current delivery area.</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believe our facilities are adequate and suitable for our current needs and that, should it be needed, suitable additional or alternative space will be available to accommodate our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are currently not aware of any pending legal proceedings to which we are a party or of which any of our property is the subject, nor are we aware of any such proceedings that are contemplated by any governmental authority.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are a public company, and our Annual Reports on Form 10-K, Quarterly Reports on Form 10-Q, Current Reports on Form 8-K and any amendments to such reports are filed with the SEC. We are subject to the informational requirements of the Exchange Act and file or furnish reports, proxy statements, and other information with the SEC. Such reports and other information filed by us with the SEC will be available free of charge on our website at www.serverobotics.com when such reports are available on the SEC’s website. The SEC maintains a website that contains reports, proxy and information statements, and other information that issuers file electronically with the SEC at www.sec.gov. Our website is www.serverobotics.com, and we can be contacted at investor.relations@serverobotics.com.</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contents of the websites referred to above are not incorporated into this filing. Further, our references to the URLs for these websites are intended to be inactive textual references only.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81" w:name="page82"/>
    <w:bookmarkEnd w:id="81"/>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Executive Officers and Directors</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provides information regarding our executive officers and directors as of , 2024:</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Age</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196"/>
        </w:trPr>
        <w:tc>
          <w:tcPr>
            <w:tcW w:w="3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tcBorders>
              <w:top w:val="single" w:sz="8" w:color="auto"/>
            </w:tcBorders>
          </w:tcPr>
          <w:p>
            <w:pPr>
              <w:spacing w:after="0"/>
              <w:rPr>
                <w:sz w:val="17"/>
                <w:szCs w:val="17"/>
                <w:color w:val="auto"/>
              </w:rPr>
            </w:pPr>
          </w:p>
        </w:tc>
      </w:tr>
      <w:tr>
        <w:trPr>
          <w:trHeight w:val="196"/>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Ali Kashani</w:t>
            </w:r>
          </w:p>
        </w:tc>
        <w:tc>
          <w:tcPr>
            <w:tcW w:w="80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Executive Officer and Chairman of the Board</w:t>
            </w:r>
          </w:p>
        </w:tc>
      </w:tr>
      <w:tr>
        <w:trPr>
          <w:trHeight w:val="196"/>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Touraj Parang</w:t>
            </w:r>
          </w:p>
        </w:tc>
        <w:tc>
          <w:tcPr>
            <w:tcW w:w="800" w:type="dxa"/>
            <w:vAlign w:val="bottom"/>
          </w:tcPr>
          <w:p>
            <w:pPr>
              <w:spacing w:after="0"/>
              <w:rPr>
                <w:sz w:val="17"/>
                <w:szCs w:val="17"/>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President, Chief Operating Officer and Director</w:t>
            </w:r>
          </w:p>
        </w:tc>
      </w:tr>
      <w:tr>
        <w:trPr>
          <w:trHeight w:val="196"/>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April Pannell</w:t>
            </w:r>
          </w:p>
        </w:tc>
        <w:tc>
          <w:tcPr>
            <w:tcW w:w="80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6"/>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Euan Abraham</w:t>
            </w:r>
          </w:p>
        </w:tc>
        <w:tc>
          <w:tcPr>
            <w:tcW w:w="800" w:type="dxa"/>
            <w:vAlign w:val="bottom"/>
          </w:tcPr>
          <w:p>
            <w:pPr>
              <w:spacing w:after="0"/>
              <w:rPr>
                <w:sz w:val="17"/>
                <w:szCs w:val="17"/>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Senior Vice President of Hardware Engineering</w:t>
            </w:r>
          </w:p>
        </w:tc>
      </w:tr>
      <w:tr>
        <w:trPr>
          <w:trHeight w:val="196"/>
        </w:trPr>
        <w:tc>
          <w:tcPr>
            <w:tcW w:w="3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r>
      <w:tr>
        <w:trPr>
          <w:trHeight w:val="196"/>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Non-Employee Directors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tcPr>
          <w:p>
            <w:pPr>
              <w:spacing w:after="0"/>
              <w:rPr>
                <w:sz w:val="17"/>
                <w:szCs w:val="17"/>
                <w:color w:val="auto"/>
              </w:rPr>
            </w:pPr>
          </w:p>
        </w:tc>
      </w:tr>
      <w:tr>
        <w:trPr>
          <w:trHeight w:val="233"/>
        </w:trPr>
        <w:tc>
          <w:tcPr>
            <w:tcW w:w="3600" w:type="dxa"/>
            <w:vAlign w:val="bottom"/>
            <w:gridSpan w:val="2"/>
            <w:shd w:val="clear" w:color="auto" w:fill="CCEEFF"/>
          </w:tcPr>
          <w:p>
            <w:pPr>
              <w:ind w:left="140"/>
              <w:spacing w:after="0" w:line="233" w:lineRule="exact"/>
              <w:rPr>
                <w:sz w:val="20"/>
                <w:szCs w:val="20"/>
                <w:color w:val="auto"/>
              </w:rPr>
            </w:pPr>
            <w:r>
              <w:rPr>
                <w:rFonts w:ascii="Times New Roman" w:cs="Times New Roman" w:eastAsia="Times New Roman" w:hAnsi="Times New Roman"/>
                <w:sz w:val="16"/>
                <w:szCs w:val="16"/>
                <w:color w:val="auto"/>
              </w:rPr>
              <w:t>James Buckly Jordan</w:t>
            </w:r>
            <w:r>
              <w:rPr>
                <w:rFonts w:ascii="Times New Roman" w:cs="Times New Roman" w:eastAsia="Times New Roman" w:hAnsi="Times New Roman"/>
                <w:sz w:val="27"/>
                <w:szCs w:val="27"/>
                <w:color w:val="auto"/>
                <w:vertAlign w:val="superscript"/>
              </w:rPr>
              <w:t>(2)(3)</w:t>
            </w:r>
          </w:p>
        </w:tc>
        <w:tc>
          <w:tcPr>
            <w:tcW w:w="800" w:type="dxa"/>
            <w:vAlign w:val="bottom"/>
            <w:shd w:val="clear" w:color="auto" w:fill="CCEEFF"/>
          </w:tcPr>
          <w:p>
            <w:pPr>
              <w:spacing w:after="0"/>
              <w:rPr>
                <w:sz w:val="20"/>
                <w:szCs w:val="20"/>
                <w:color w:val="auto"/>
              </w:rPr>
            </w:pP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196"/>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Sarfraz Maredia</w:t>
            </w:r>
          </w:p>
        </w:tc>
        <w:tc>
          <w:tcPr>
            <w:tcW w:w="800" w:type="dxa"/>
            <w:vAlign w:val="bottom"/>
          </w:tcPr>
          <w:p>
            <w:pPr>
              <w:spacing w:after="0"/>
              <w:rPr>
                <w:sz w:val="17"/>
                <w:szCs w:val="17"/>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3600" w:type="dxa"/>
            <w:vAlign w:val="bottom"/>
            <w:gridSpan w:val="2"/>
            <w:shd w:val="clear" w:color="auto" w:fill="CCEEFF"/>
          </w:tcPr>
          <w:p>
            <w:pPr>
              <w:ind w:left="140"/>
              <w:spacing w:after="0" w:line="233" w:lineRule="exact"/>
              <w:rPr>
                <w:sz w:val="20"/>
                <w:szCs w:val="20"/>
                <w:color w:val="auto"/>
              </w:rPr>
            </w:pPr>
            <w:r>
              <w:rPr>
                <w:rFonts w:ascii="Times New Roman" w:cs="Times New Roman" w:eastAsia="Times New Roman" w:hAnsi="Times New Roman"/>
                <w:sz w:val="16"/>
                <w:szCs w:val="16"/>
                <w:color w:val="auto"/>
              </w:rPr>
              <w:t>Ali Pourdad</w:t>
            </w:r>
            <w:r>
              <w:rPr>
                <w:rFonts w:ascii="Times New Roman" w:cs="Times New Roman" w:eastAsia="Times New Roman" w:hAnsi="Times New Roman"/>
                <w:sz w:val="27"/>
                <w:szCs w:val="27"/>
                <w:color w:val="auto"/>
                <w:vertAlign w:val="superscript"/>
              </w:rPr>
              <w:t>(1)(2)</w:t>
            </w:r>
          </w:p>
        </w:tc>
        <w:tc>
          <w:tcPr>
            <w:tcW w:w="800" w:type="dxa"/>
            <w:vAlign w:val="bottom"/>
            <w:shd w:val="clear" w:color="auto" w:fill="CCEEFF"/>
          </w:tcPr>
          <w:p>
            <w:pPr>
              <w:spacing w:after="0"/>
              <w:rPr>
                <w:sz w:val="20"/>
                <w:szCs w:val="20"/>
                <w:color w:val="auto"/>
              </w:rPr>
            </w:pP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Director</w:t>
            </w:r>
          </w:p>
        </w:tc>
      </w:tr>
      <w:tr>
        <w:trPr>
          <w:trHeight w:val="358"/>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Olivier Vincent</w:t>
            </w:r>
            <w:r>
              <w:rPr>
                <w:rFonts w:ascii="Times New Roman" w:cs="Times New Roman" w:eastAsia="Times New Roman" w:hAnsi="Times New Roman"/>
                <w:sz w:val="27"/>
                <w:szCs w:val="27"/>
                <w:color w:val="auto"/>
                <w:vertAlign w:val="superscript"/>
              </w:rPr>
              <w:t>(2)(3)</w:t>
            </w:r>
          </w:p>
        </w:tc>
        <w:tc>
          <w:tcPr>
            <w:tcW w:w="800" w:type="dxa"/>
            <w:vAlign w:val="bottom"/>
          </w:tcPr>
          <w:p>
            <w:pPr>
              <w:spacing w:after="0"/>
              <w:rPr>
                <w:sz w:val="24"/>
                <w:szCs w:val="24"/>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55" w:lineRule="exact"/>
        <w:rPr>
          <w:sz w:val="20"/>
          <w:szCs w:val="20"/>
          <w:color w:val="auto"/>
        </w:rPr>
      </w:pPr>
    </w:p>
    <w:p>
      <w:pPr>
        <w:ind w:left="302" w:hanging="302"/>
        <w:spacing w:after="0"/>
        <w:tabs>
          <w:tab w:leader="none" w:pos="30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governance committee.</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Executive Officers</w:t>
      </w:r>
    </w:p>
    <w:p>
      <w:pPr>
        <w:spacing w:after="0" w:line="207"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Ali Kashani </w:t>
      </w:r>
      <w:r>
        <w:rPr>
          <w:rFonts w:ascii="Times New Roman" w:cs="Times New Roman" w:eastAsia="Times New Roman" w:hAnsi="Times New Roman"/>
          <w:sz w:val="16"/>
          <w:szCs w:val="16"/>
          <w:color w:val="auto"/>
        </w:rPr>
        <w:t>co-founded Serve Robotics Inc. in January 2021 and has served as its Chief Executive Officer and a member of the board of directors of Serve (the “Board”)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since then. Prior to co-founding Serve, he served as Vice President of Postmates Inc., an on-demand food delivery platform, from July 2017 to January 2021. Dr. Kashani received both his Bachelor of Science in Computer Engineering and his Doctorate in Robotics from the University of British Columbia. Dr. Kashani has served on the Board since the Company’s formation, and we believe he is qualified to remain on the Board due to the institutional knowledge he brings as Co-Founder and Chief Executive Officer of the Company and his business and robotics experience.</w:t>
      </w:r>
    </w:p>
    <w:p>
      <w:pPr>
        <w:spacing w:after="0" w:line="155"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Touraj Parang </w:t>
      </w:r>
      <w:r>
        <w:rPr>
          <w:rFonts w:ascii="Times New Roman" w:cs="Times New Roman" w:eastAsia="Times New Roman" w:hAnsi="Times New Roman"/>
          <w:sz w:val="16"/>
          <w:szCs w:val="16"/>
          <w:color w:val="auto"/>
        </w:rPr>
        <w:t>has served as Serve’s Chief Operating Officer and as a member of the Board since March 2021, and was appointed President of Serve in July 2022. Prior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joining Serve, Mr. Parang worked at GoDaddy Inc. (NYSE: GDDY) from May 2014 to March 2021, where he began as Senior Director of Corporate Development and most recently served as Vice President of Corporate Development.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spacing w:after="0" w:line="155" w:lineRule="exact"/>
        <w:rPr>
          <w:sz w:val="20"/>
          <w:szCs w:val="20"/>
          <w:color w:val="auto"/>
        </w:rPr>
      </w:pPr>
    </w:p>
    <w:p>
      <w:pPr>
        <w:jc w:val="both"/>
        <w:ind w:left="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Euan Abraham </w:t>
      </w:r>
      <w:r>
        <w:rPr>
          <w:rFonts w:ascii="Times New Roman" w:cs="Times New Roman" w:eastAsia="Times New Roman" w:hAnsi="Times New Roman"/>
          <w:sz w:val="16"/>
          <w:szCs w:val="16"/>
          <w:color w:val="auto"/>
        </w:rPr>
        <w:t>has served as Serve’s Senior Vice President of Hardware Engineering since January 2022. Prior to joining Serve, Mr. Abraham served as Senior 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Hardware Engineering at Latch, Inc. (NASDAQ: LTCH) from October 2018 to September 2021. Prior to that, he served as Vice President, Hardware Engineering at GoPro, Inc. (NASDAQ: GPRO) from October 2015 to October 2018. Mr. Abraham received his Bachelor of Engineering at the University of Sheffield.</w:t>
      </w:r>
    </w:p>
    <w:p>
      <w:pPr>
        <w:spacing w:after="0" w:line="146" w:lineRule="exact"/>
        <w:rPr>
          <w:sz w:val="20"/>
          <w:szCs w:val="20"/>
          <w:color w:val="auto"/>
        </w:rPr>
      </w:pPr>
    </w:p>
    <w:p>
      <w:pPr>
        <w:jc w:val="both"/>
        <w:ind w:left="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April Pannell </w:t>
      </w:r>
      <w:r>
        <w:rPr>
          <w:rFonts w:ascii="Times New Roman" w:cs="Times New Roman" w:eastAsia="Times New Roman" w:hAnsi="Times New Roman"/>
          <w:sz w:val="16"/>
          <w:szCs w:val="16"/>
          <w:color w:val="auto"/>
        </w:rPr>
        <w:t>has served as Serve’s Chief Financial Officer since May 1, 2023. Ms. Pannell has also served as Managing Partner and Director of AKW Financial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January 2019 and previously served as Chief Financial Officer and Global Controller of Fluitec, a company that provides green treatment solutions for hydraulic fluids, from August 2011 to December 2018. Ms. Pannell holds a Bachelors degree in Accounting from American International College.</w:t>
      </w:r>
    </w:p>
    <w:p>
      <w:pPr>
        <w:spacing w:after="0" w:line="34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i w:val="1"/>
          <w:iCs w:val="1"/>
          <w:color w:val="auto"/>
        </w:rPr>
        <w:t>Non-Employee Directors</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Buckly Jordan </w:t>
      </w:r>
      <w:r>
        <w:rPr>
          <w:rFonts w:ascii="Times New Roman" w:cs="Times New Roman" w:eastAsia="Times New Roman" w:hAnsi="Times New Roman"/>
          <w:sz w:val="16"/>
          <w:szCs w:val="16"/>
          <w:color w:val="auto"/>
        </w:rPr>
        <w:t>has served as a member of Serve’s Board since October 2021. Mr. Jordan founded Vebu Labs, a food robotics and automation solutions company,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October 2018 and has served as its Chief Executive Officer since then. He is also the co-founder of Miso Robotics, a food robotics company, which he co-founded in 2016 and for which he currently serves as the acting President and Chairman of the Board of Directors. Mr. Jordan also founded Canyon Creek Capital, a venture capital fund, in July 2018 and has served as its Managing Partner since then. He received his Bachelor of Arts in Political Science from Indiana University and his Master of Business Administration from the University of California, Los Angeles Anderson School of Management. We believe Mr. Jordan is qualified to serve on our board of directors due to his early-stage investment experience in technology companies.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Sarfraz Maredia </w:t>
      </w:r>
      <w:r>
        <w:rPr>
          <w:rFonts w:ascii="Times New Roman" w:cs="Times New Roman" w:eastAsia="Times New Roman" w:hAnsi="Times New Roman"/>
          <w:sz w:val="16"/>
          <w:szCs w:val="16"/>
          <w:color w:val="auto"/>
        </w:rPr>
        <w:t>has served as a member of our Board since July 2023. Since September 2014, Mr. Maredia has been employed at Uber, most recently as Vice President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Delivery and Head of Americas, where he leads Uber Eats’ marketplace business across the United States, Canada, and Latin America as well as overseeing Postmates. Prior to his service at Uber, Mr. Maredia joined IQVIA (formerly IMS Health), a global information and technology services company focused on healthcare, in September 2011,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our board of directors.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Ali Pourdad </w:t>
      </w:r>
      <w:r>
        <w:rPr>
          <w:rFonts w:ascii="Times New Roman" w:cs="Times New Roman" w:eastAsia="Times New Roman" w:hAnsi="Times New Roman"/>
          <w:sz w:val="16"/>
          <w:szCs w:val="16"/>
          <w:color w:val="auto"/>
        </w:rPr>
        <w:t>has served as a member of our Board since July 2023. Since March 2021, Mr. Pourdad has served as Chief Executive Officer of Quantfury Trading Limited,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global financial technology broker-dealer headquartered in the Bahamas (“Quantfury”). Prior to being named Chief Executive Officer, Mr. Pourdad was an advisor to Quantfury from September 2019 to March 2021. From January 2013 to September 2019, Mr. Pourdad served as Chief Executive Officer of Progressa, a consumer financial technology company. Mr. Pourdad is a Canadian Chartered Professional Accountant and holds a Bachelors degree in Finance from Simon Fraser University. We believe that Mr. Pourdad is qualified to serve on our board of directors due to his prior board experience and significant public company audit experience, including for NYSE and TSX listed companies.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Olivier Vincent </w:t>
      </w:r>
      <w:r>
        <w:rPr>
          <w:rFonts w:ascii="Times New Roman" w:cs="Times New Roman" w:eastAsia="Times New Roman" w:hAnsi="Times New Roman"/>
          <w:sz w:val="16"/>
          <w:szCs w:val="16"/>
          <w:color w:val="auto"/>
        </w:rPr>
        <w:t>has served as a member of our Board since July 2023. Mr. Vincent co-founded and has served as Chief Executive Officer of Autozen Technology Ltd.,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marketplace start-up in the 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of directors due to his experience growing and managing technology companies.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Appointment of Officers</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Our executive officers are appointed by, and serve at the discretion of, our board of directors provided, however, that the board of directors may empower the Chief Executive Officer of the Company to appoint any officer other than the Chief Executive Officer, the President, the Chief Financial Officer or the Treasurer.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Composition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board of directors currently consists of six members: James Buckly Jordan, Ali Kashani, Sarfraz Maredia, Touraj Parang, Ali Pourdad and Olivier Vincent.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83" w:name="page84"/>
    <w:bookmarkEnd w:id="83"/>
    <w:p>
      <w:pPr>
        <w:jc w:val="both"/>
        <w:spacing w:after="0" w:line="294" w:lineRule="auto"/>
        <w:rPr>
          <w:sz w:val="20"/>
          <w:szCs w:val="20"/>
          <w:color w:val="auto"/>
        </w:rPr>
      </w:pPr>
      <w:r>
        <w:rPr>
          <w:rFonts w:ascii="Times New Roman" w:cs="Times New Roman" w:eastAsia="Times New Roman" w:hAnsi="Times New Roman"/>
          <w:sz w:val="16"/>
          <w:szCs w:val="16"/>
          <w:color w:val="auto"/>
        </w:rPr>
        <w:t>Each of our current directors will continue to serve until the election and qualification of his or her successor, or his or her earlier death, resignation, disqualification or removal.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Classified Board of Directors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board of directors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spacing w:after="0" w:line="157" w:lineRule="exact"/>
        <w:rPr>
          <w:sz w:val="20"/>
          <w:szCs w:val="20"/>
          <w:color w:val="auto"/>
        </w:rPr>
      </w:pPr>
    </w:p>
    <w:p>
      <w:pPr>
        <w:ind w:left="880" w:hanging="293"/>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are Sarfraz Maredia and Ali Pourdad, and their terms will expire at the first annual meeting of stockholders;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are James Buckly Jordan and Olivier Vincent, and their terms will expire at the second annual meeting of stockholders;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are Ali Kashani and Touraj Parang, and their terms will expire at the third annual meeting of stockholders.</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of directors to fill vacancies on the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Director Independence</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evaluate independence by the standards for director independence set forth in Nasdaq’s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such rules, our board of directors has determined that all members of the board of directors except Ali Kashani and Touraj Parang are independent directors.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84" w:name="page85"/>
    <w:bookmarkEnd w:id="84"/>
    <w:p>
      <w:pPr>
        <w:jc w:val="both"/>
        <w:spacing w:after="0" w:line="263" w:lineRule="auto"/>
        <w:rPr>
          <w:sz w:val="20"/>
          <w:szCs w:val="20"/>
          <w:color w:val="auto"/>
        </w:rPr>
      </w:pPr>
      <w:r>
        <w:rPr>
          <w:rFonts w:ascii="Times New Roman" w:cs="Times New Roman" w:eastAsia="Times New Roman" w:hAnsi="Times New Roman"/>
          <w:sz w:val="16"/>
          <w:szCs w:val="16"/>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Jordan, Maredia, Pourdad and Vincent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w:t>
      </w:r>
      <w:r>
        <w:rPr>
          <w:rFonts w:ascii="Times New Roman" w:cs="Times New Roman" w:eastAsia="Times New Roman" w:hAnsi="Times New Roman"/>
          <w:sz w:val="16"/>
          <w:szCs w:val="16"/>
          <w:i w:val="1"/>
          <w:iCs w:val="1"/>
          <w:color w:val="auto"/>
        </w:rPr>
        <w:t>Certain Relationships and Related Party Transactions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family relationships by between or among the members of the Board or other executive officers of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Our board of directors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 of directors.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 Committee</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audit committee is composed of Messrs. Jordan, Pourdad and Vincent. Mr. Pourdad is the chair of our audit committee. Each member of our audit committee is financially literate. Our board of directors has determined that each member of our audit committee is independent within the meaning of the Nasdaq director independence standards and applicable rules of the SEC for audit committee members. Our board of directors has also determined that Mr. Pourdad qualifies as an “audit committee financial expert” under the rules of the SEC.</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primary purpose of our audit committee is to discharge the responsibilities of the board of directors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spacing w:after="0" w:line="153" w:lineRule="exact"/>
        <w:rPr>
          <w:sz w:val="20"/>
          <w:szCs w:val="20"/>
          <w:color w:val="auto"/>
        </w:rPr>
      </w:pPr>
    </w:p>
    <w:p>
      <w:pPr>
        <w:ind w:left="880" w:hanging="293"/>
        <w:spacing w:after="0"/>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helping the board of directors oversee our corporate accounting and financial reporting processes;</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the selection, engagement, qualifications, independence, and performance of a qualified firm to serve as the independent registered public accounting firm to audit our financial statements;</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scope and results of the audit with the independent registered public accounting firm, and reviewing, with management and the independent accountants, our interim and year-end operating results;</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employees to submit concerns anonymously about questionable accounting or audit matters;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policies on risk assessment and risk management;</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compliance with our code of business conduct and ethics;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related person transactions;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or, as required, pre-approving audit and permissible non-audit services to be performed by the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i w:val="1"/>
          <w:iCs w:val="1"/>
          <w:color w:val="auto"/>
        </w:rPr>
        <w:t>Compensation Committee</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compensation committee is composed of Messrs. Jordan and Vincent. Mr. Vincent is the chair of our compensation committee. The primary purpose of our compensation committee is to discharge the responsibilities of the board of directors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spacing w:after="0" w:line="157" w:lineRule="exact"/>
        <w:rPr>
          <w:sz w:val="20"/>
          <w:szCs w:val="20"/>
          <w:color w:val="auto"/>
        </w:rPr>
      </w:pPr>
    </w:p>
    <w:p>
      <w:pPr>
        <w:ind w:left="880" w:hanging="293"/>
        <w:spacing w:after="0" w:line="294"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approving and determining, or making recommendations to the board of directors regarding, the compensation of our chief executive officer, other executive officers and senior management;</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evaluating and recommending to the board of directors succession plans for our executive officers;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of directors the compensation paid to our non-employee directors;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equity incentive plans and other benefit programs;</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establishing general policies relating to compensation and benefits of our employees, including our overall compensation philosophy.</w:t>
      </w:r>
    </w:p>
    <w:p>
      <w:pPr>
        <w:spacing w:after="0" w:line="20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Each member of our compensation committee is a non-employee director as defined in Rule 16b-3 of the Exchange Act. Our board of directors has also determined that each member of our compensation committee is also an independent director within the meanings of Nasdaq’s director independence standards and applicable SEC rules.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Nominating and Governance Committee</w:t>
      </w:r>
    </w:p>
    <w:p>
      <w:pPr>
        <w:spacing w:after="0" w:line="21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Our nominating and governance committee is composed of Ali Pourdad who also serves as the chair of our nominating and governance committee. Our nominating and governance committee’s principal functions include, among other things:</w:t>
      </w:r>
    </w:p>
    <w:p>
      <w:pPr>
        <w:spacing w:after="0" w:line="138" w:lineRule="exact"/>
        <w:rPr>
          <w:sz w:val="20"/>
          <w:szCs w:val="20"/>
          <w:color w:val="auto"/>
        </w:rPr>
      </w:pPr>
    </w:p>
    <w:p>
      <w:pPr>
        <w:ind w:left="880" w:hanging="293"/>
        <w:spacing w:after="0" w:line="294"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evaluating candidates, including the nomination of incumbent directors for reelection and nominees recommended by stockholders, to serve on the board of directors;</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and making recommendations to the board of directors regarding the composition and chairmanship of the committees of the board of directors;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instituting plans or programs for the continuing education of the board of directors and the orientation of new directors;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making recommendations to the board of directors regarding corporate governance guidelines and matters;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corporate governance practices;</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periodic evaluations of the board of directors’ performance, including committees of the board of directors; and</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contributing to succession planning.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adopted a written code of business conduct and ethics that applies to our directors, officers and employees, including our principal executive officer, principal financial officer, and persons performing similar functions. Upon the closing of this offering, our code of business conduct and ethics will be available under the Corporate Governance section of our website at https://serverobotics.com.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 of directors.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86" w:name="page87"/>
    <w:bookmarkEnd w:id="86"/>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EXECUTIVE AND DIRECTOR COMPENSATION</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w:t>
      </w:r>
    </w:p>
    <w:p>
      <w:pPr>
        <w:spacing w:after="0" w:line="211" w:lineRule="exact"/>
        <w:rPr>
          <w:sz w:val="20"/>
          <w:szCs w:val="20"/>
          <w:color w:val="auto"/>
        </w:rPr>
      </w:pPr>
    </w:p>
    <w:p>
      <w:pPr>
        <w:ind w:left="2"/>
        <w:spacing w:after="0" w:line="297" w:lineRule="auto"/>
        <w:rPr>
          <w:sz w:val="20"/>
          <w:szCs w:val="20"/>
          <w:color w:val="auto"/>
        </w:rPr>
      </w:pPr>
      <w:r>
        <w:rPr>
          <w:rFonts w:ascii="Times New Roman" w:cs="Times New Roman" w:eastAsia="Times New Roman" w:hAnsi="Times New Roman"/>
          <w:sz w:val="16"/>
          <w:szCs w:val="16"/>
          <w:i w:val="1"/>
          <w:iCs w:val="1"/>
          <w:color w:val="auto"/>
        </w:rPr>
        <w:t>Throughout this section, unless otherwise noted, “we,” “us,” “our,” “Company” and similar terms refer to Serve prior to the closing of the Merger, and to the Company and its subsidiaries after the closing of the Merger.</w:t>
      </w:r>
    </w:p>
    <w:p>
      <w:pPr>
        <w:spacing w:after="0" w:line="136" w:lineRule="exact"/>
        <w:rPr>
          <w:sz w:val="20"/>
          <w:szCs w:val="20"/>
          <w:color w:val="auto"/>
        </w:rPr>
      </w:pPr>
    </w:p>
    <w:p>
      <w:pPr>
        <w:ind w:left="2"/>
        <w:spacing w:after="0" w:line="294"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the Company’s named executive officers who appear in the “2023 Summary Compensation Table” below. In 2023, the “named executive officers” and their positions with the Company were as follows:</w:t>
      </w:r>
    </w:p>
    <w:p>
      <w:pPr>
        <w:spacing w:after="0" w:line="138" w:lineRule="exact"/>
        <w:rPr>
          <w:sz w:val="20"/>
          <w:szCs w:val="20"/>
          <w:color w:val="auto"/>
        </w:rPr>
      </w:pPr>
    </w:p>
    <w:p>
      <w:pPr>
        <w:ind w:left="882" w:hanging="293"/>
        <w:spacing w:after="0"/>
        <w:tabs>
          <w:tab w:leader="none" w:pos="8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 Kashani: Chief Executive Officer</w:t>
      </w:r>
    </w:p>
    <w:p>
      <w:pPr>
        <w:spacing w:after="0" w:line="208" w:lineRule="exact"/>
        <w:rPr>
          <w:rFonts w:ascii="Times New Roman" w:cs="Times New Roman" w:eastAsia="Times New Roman" w:hAnsi="Times New Roman"/>
          <w:sz w:val="16"/>
          <w:szCs w:val="16"/>
          <w:color w:val="auto"/>
        </w:rPr>
      </w:pPr>
    </w:p>
    <w:p>
      <w:pPr>
        <w:ind w:left="882" w:hanging="293"/>
        <w:spacing w:after="0"/>
        <w:tabs>
          <w:tab w:leader="none" w:pos="8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Touraj Parang: President &amp; Chief Operating Officer</w:t>
      </w:r>
    </w:p>
    <w:p>
      <w:pPr>
        <w:spacing w:after="0" w:line="208" w:lineRule="exact"/>
        <w:rPr>
          <w:rFonts w:ascii="Times New Roman" w:cs="Times New Roman" w:eastAsia="Times New Roman" w:hAnsi="Times New Roman"/>
          <w:sz w:val="16"/>
          <w:szCs w:val="16"/>
          <w:color w:val="auto"/>
        </w:rPr>
      </w:pPr>
    </w:p>
    <w:p>
      <w:pPr>
        <w:ind w:left="882" w:hanging="293"/>
        <w:spacing w:after="0"/>
        <w:tabs>
          <w:tab w:leader="none" w:pos="8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Euan Abraham: Senior Vice President of Hardware Engineering</w:t>
      </w:r>
    </w:p>
    <w:p>
      <w:pPr>
        <w:spacing w:after="0" w:line="209" w:lineRule="exact"/>
        <w:rPr>
          <w:sz w:val="20"/>
          <w:szCs w:val="20"/>
          <w:color w:val="auto"/>
        </w:rPr>
      </w:pPr>
    </w:p>
    <w:p>
      <w:pPr>
        <w:ind w:left="2"/>
        <w:spacing w:after="0" w:line="294" w:lineRule="auto"/>
        <w:rPr>
          <w:sz w:val="20"/>
          <w:szCs w:val="20"/>
          <w:color w:val="auto"/>
        </w:rPr>
      </w:pPr>
      <w:r>
        <w:rPr>
          <w:rFonts w:ascii="Times New Roman" w:cs="Times New Roman" w:eastAsia="Times New Roman" w:hAnsi="Times New Roman"/>
          <w:sz w:val="16"/>
          <w:szCs w:val="16"/>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1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2023 Summary Compensation Table</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sets forth information concerning the compensation of the named executive officers for the Company’s most recent fiscal year.</w:t>
      </w:r>
    </w:p>
    <w:p>
      <w:pPr>
        <w:spacing w:after="0" w:line="229"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11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6"/>
                <w:szCs w:val="16"/>
                <w:b w:val="1"/>
                <w:bCs w:val="1"/>
                <w:color w:val="auto"/>
              </w:rPr>
              <w:t>All Other</w:t>
            </w: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40" w:type="dxa"/>
            <w:vAlign w:val="bottom"/>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60" w:type="dxa"/>
            <w:vAlign w:val="bottom"/>
          </w:tcPr>
          <w:p>
            <w:pPr>
              <w:spacing w:after="0"/>
              <w:rPr>
                <w:sz w:val="21"/>
                <w:szCs w:val="21"/>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6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3"/>
          </w:tcPr>
          <w:p>
            <w:pPr>
              <w:jc w:val="center"/>
              <w:ind w:left="438"/>
              <w:spacing w:after="0" w:line="245" w:lineRule="exact"/>
              <w:rPr>
                <w:sz w:val="20"/>
                <w:szCs w:val="20"/>
                <w:color w:val="auto"/>
              </w:rPr>
            </w:pPr>
            <w:r>
              <w:rPr>
                <w:rFonts w:ascii="Times New Roman" w:cs="Times New Roman" w:eastAsia="Times New Roman" w:hAnsi="Times New Roman"/>
                <w:sz w:val="16"/>
                <w:szCs w:val="16"/>
                <w:b w:val="1"/>
                <w:bCs w:val="1"/>
                <w:color w:val="auto"/>
                <w:w w:val="90"/>
              </w:rPr>
              <w:t>($)</w:t>
            </w:r>
            <w:r>
              <w:rPr>
                <w:rFonts w:ascii="Times New Roman" w:cs="Times New Roman" w:eastAsia="Times New Roman" w:hAnsi="Times New Roman"/>
                <w:sz w:val="27"/>
                <w:szCs w:val="27"/>
                <w:b w:val="1"/>
                <w:bCs w:val="1"/>
                <w:color w:val="auto"/>
                <w:w w:val="90"/>
                <w:vertAlign w:val="superscript"/>
              </w:rPr>
              <w:t>(1)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spacing w:after="0" w:line="245" w:lineRule="exact"/>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27"/>
                <w:szCs w:val="27"/>
                <w:b w:val="1"/>
                <w:bCs w:val="1"/>
                <w:color w:val="auto"/>
                <w:w w:val="85"/>
                <w:vertAlign w:val="superscript"/>
              </w:rPr>
              <w:t>(1)</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06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Ali Kashani </w:t>
            </w: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105,738</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35,862</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Executive Officer</w:t>
            </w:r>
          </w:p>
        </w:tc>
        <w:tc>
          <w:tcPr>
            <w:tcW w:w="11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192,992</w:t>
            </w:r>
          </w:p>
        </w:tc>
        <w:tc>
          <w:tcPr>
            <w:tcW w:w="0" w:type="dxa"/>
            <w:vAlign w:val="bottom"/>
          </w:tcPr>
          <w:p>
            <w:pPr>
              <w:spacing w:after="0"/>
              <w:rPr>
                <w:sz w:val="1"/>
                <w:szCs w:val="1"/>
                <w:color w:val="auto"/>
              </w:rPr>
            </w:pPr>
          </w:p>
        </w:tc>
      </w:tr>
      <w:tr>
        <w:trPr>
          <w:trHeight w:val="180"/>
        </w:trPr>
        <w:tc>
          <w:tcPr>
            <w:tcW w:w="19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Touraj Parang </w:t>
            </w:r>
          </w:p>
        </w:tc>
        <w:tc>
          <w:tcPr>
            <w:tcW w:w="1140" w:type="dxa"/>
            <w:vAlign w:val="bottom"/>
            <w:gridSpan w:val="2"/>
          </w:tcPr>
          <w:p>
            <w:pPr>
              <w:jc w:val="right"/>
              <w:ind w:right="258"/>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238,500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11,209</w:t>
            </w:r>
          </w:p>
        </w:tc>
        <w:tc>
          <w:tcPr>
            <w:tcW w:w="116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249,709</w:t>
            </w:r>
          </w:p>
        </w:tc>
        <w:tc>
          <w:tcPr>
            <w:tcW w:w="0" w:type="dxa"/>
            <w:vAlign w:val="bottom"/>
          </w:tcPr>
          <w:p>
            <w:pPr>
              <w:spacing w:after="0"/>
              <w:rPr>
                <w:sz w:val="1"/>
                <w:szCs w:val="1"/>
                <w:color w:val="auto"/>
              </w:rPr>
            </w:pPr>
          </w:p>
        </w:tc>
      </w:tr>
      <w:tr>
        <w:trPr>
          <w:trHeight w:val="19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&amp; Chief</w:t>
            </w:r>
          </w:p>
        </w:tc>
        <w:tc>
          <w:tcPr>
            <w:tcW w:w="1140" w:type="dxa"/>
            <w:vAlign w:val="bottom"/>
            <w:gridSpan w:val="2"/>
          </w:tcPr>
          <w:p>
            <w:pPr>
              <w:jc w:val="right"/>
              <w:ind w:right="258"/>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260,583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260,583</w:t>
            </w:r>
          </w:p>
        </w:tc>
        <w:tc>
          <w:tcPr>
            <w:tcW w:w="0" w:type="dxa"/>
            <w:vAlign w:val="bottom"/>
          </w:tcPr>
          <w:p>
            <w:pPr>
              <w:spacing w:after="0"/>
              <w:rPr>
                <w:sz w:val="1"/>
                <w:szCs w:val="1"/>
                <w:color w:val="auto"/>
              </w:rPr>
            </w:pPr>
          </w:p>
        </w:tc>
      </w:tr>
      <w:tr>
        <w:trPr>
          <w:trHeight w:val="213"/>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Officer</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Euan Abraham</w:t>
            </w:r>
          </w:p>
        </w:tc>
        <w:tc>
          <w:tcPr>
            <w:tcW w:w="11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9,890</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279,890</w:t>
            </w: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Senior Vice President of</w:t>
            </w:r>
          </w:p>
        </w:tc>
        <w:tc>
          <w:tcPr>
            <w:tcW w:w="1140" w:type="dxa"/>
            <w:vAlign w:val="bottom"/>
            <w:gridSpan w:val="2"/>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295,000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9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295,000</w:t>
            </w:r>
          </w:p>
        </w:tc>
        <w:tc>
          <w:tcPr>
            <w:tcW w:w="0" w:type="dxa"/>
            <w:vAlign w:val="bottom"/>
          </w:tcPr>
          <w:p>
            <w:pPr>
              <w:spacing w:after="0"/>
              <w:rPr>
                <w:sz w:val="1"/>
                <w:szCs w:val="1"/>
                <w:color w:val="auto"/>
              </w:rPr>
            </w:pPr>
          </w:p>
        </w:tc>
      </w:tr>
      <w:tr>
        <w:trPr>
          <w:trHeight w:val="116"/>
        </w:trPr>
        <w:tc>
          <w:tcPr>
            <w:tcW w:w="19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Hardware Engineering</w:t>
            </w:r>
          </w:p>
        </w:tc>
        <w:tc>
          <w:tcPr>
            <w:tcW w:w="11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96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302" w:hanging="302"/>
        <w:spacing w:after="0" w:line="275" w:lineRule="auto"/>
        <w:tabs>
          <w:tab w:leader="none" w:pos="30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awards and option awards are reported at aggregate grant date fair value in the year granted, as determined in accordance with the provisions of FASB ASC Topic 718. For the assumptions used in valuing these awards for purposes of computing this expense, please see Note 9 to Serve’s financial statements for the year ended December 31, 2022.</w:t>
      </w:r>
    </w:p>
    <w:p>
      <w:pPr>
        <w:spacing w:after="0" w:line="1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Salaries</w:t>
      </w:r>
    </w:p>
    <w:p>
      <w:pPr>
        <w:spacing w:after="0" w:line="211"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In fiscal year 2023, Dr. Kashani, Mr. Parang, and Mr. Abraham received an annual base salary of $105,738, $238,500, and $270,000, respectively, to compensate them for services rendered to Serve. In fiscal year 2022, Dr. Kashani, Mr. Parang, and Mr. Abraham received an annual base salary of $192,991, $260,583, and $295,000, respectively, to compensate them for services rendered to Serve. The base salary payable to each of Dr. Kashani, Mr. Parang, and Mr. Abraham was intended to provide a fixed component of compensation reflecting the executive’s skill set, experience, role and responsibilities.</w:t>
      </w:r>
    </w:p>
    <w:p>
      <w:pPr>
        <w:spacing w:after="0" w:line="35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i w:val="1"/>
          <w:iCs w:val="1"/>
          <w:color w:val="auto"/>
        </w:rPr>
        <w:t>Equity Awards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April 27, 2021, Dr. Kashani purchased 1,499,866 shares of Serve common stock for an aggregate purchase price of $1,866.67 (the “Kashani Time-Based Award”). On May 6, 2021, Mr. Parang purchased 535,163 shares of Serve common stock for an aggregate purchase price of $828.92 (the “Parang Time-Based Award”). On December 23, 2021, Mr. Abraham was granted an option to purchase 200,875 shares of Serve common stock (the “Abraham Time-Based Award” and together with the Kashani Time-Based Award and the Parang Time-Based Award, the “Time-Based Awards”). The Kashani Time-Based Award, the Parang Time-Based Award, and the Abraham Time-Based Award are each scheduled to vest as to 25% of the shares on February 18, 2022, March 22, 2022, and November 1, 2022, respectively, and as to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the shares monthly over the 36 month-period thereafter, subject to the executive’s continued employment through each vesting date.</w:t>
      </w:r>
    </w:p>
    <w:p>
      <w:pPr>
        <w:spacing w:after="0" w:line="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April 27, 2021, Dr. Kashani purchased 749,933 shares of Serve common stock for an aggregate purchase price of $933.34 (the “Kashani Milestone-Based Award”). On May 6, 2021, Mr. Parang purchased 267,581 shares of Serve common stock for an aggregate purchase price of $414.46 (the “Parang Milestone-Based Award”). On December 23, 2021, Mr. Abraham was granted an option to purchase 100,437 shares of Serve common stock (the “Abraham Milestone-Based Award” and together with the Kashani Milestone-Based Award and the Parang Milestone-Based Award, the “Milestone-Based Awards”).</w:t>
      </w:r>
    </w:p>
    <w:p>
      <w:pPr>
        <w:spacing w:after="0" w:line="16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The Milestone-Based Awards are each scheduled to vest as to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the shares monthly over the 48 month-period following the achievement of a milestone prior to September 30, 2022. Between October and November 2022, the Board retroactively amended the vesting schedule to permit the 48-month vesting period to run from June 15, 2022, regardless of milestone achievement.</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June 6, 2023, Dr. Kashani, Mr. Parang and Mr. Abraham were each granted an option to purchase 45,182, 11,403, and 12,909 shares of Serve common stock, which fully vested on the one-month anniversary of the closing of the Merger, subject to the executive’s continued employment through the vesting date. In addition, on June 6, 2023, Dr. Kashani, Mr. Parang and Mr. Abraham were each granted an option to purchase 19,373, 8,451, and 4,795 shares of Serve common stock, which are scheduled to vest as to 1/48th of the option shares on July 1, 2023 and monthly thereafter, subject to the executive’s continued employment through each vesting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Serve 2021 Stock Plan</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General. </w:t>
      </w:r>
      <w:r>
        <w:rPr>
          <w:rFonts w:ascii="Times New Roman" w:cs="Times New Roman" w:eastAsia="Times New Roman" w:hAnsi="Times New Roman"/>
          <w:sz w:val="16"/>
          <w:szCs w:val="16"/>
          <w:color w:val="auto"/>
        </w:rPr>
        <w:t>Serve’s board of directors originally adopted, and Serve’s stockholders approved, the Serve Robotics Inc. 2021 Stock Plan (the “2021 Stock Plan”) in 2021.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2021 Stock Plan provided for the grant of incentive stock options to Serve employees (and employees of any parent or subsidiary of Serve) and for the grant of non-statutory stock options, restricted stock and restricted stock purchase rights to Serve employees, directors and consultants (and employees and consultants of any parent, subsidiary or affiliate of Serve).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Plan Administration. The Serve board of directors has administered the 2021 Stock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Types of Awards. </w:t>
      </w:r>
      <w:r>
        <w:rPr>
          <w:rFonts w:ascii="Times New Roman" w:cs="Times New Roman" w:eastAsia="Times New Roman" w:hAnsi="Times New Roman"/>
          <w:sz w:val="16"/>
          <w:szCs w:val="16"/>
          <w:color w:val="auto"/>
        </w:rPr>
        <w:t>The 2021 Stock Plan provides for the grant of incentive stock options, non-statutory stock options, restricted stock and restricted stock purchase rights.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Stock Options. </w:t>
      </w:r>
      <w:r>
        <w:rPr>
          <w:rFonts w:ascii="Times New Roman" w:cs="Times New Roman" w:eastAsia="Times New Roman" w:hAnsi="Times New Roman"/>
          <w:sz w:val="16"/>
          <w:szCs w:val="16"/>
          <w:color w:val="auto"/>
        </w:rPr>
        <w:t>The Serve board of directors granted stock options under the 2021 Stock Plan. The exercise price per share applicable to such options was equal to at least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fair market value per share of Serve common stock on the date of grant. The term of options granted under the 2021 Stock Plan did not exceed 10 years; provided, however, that any incentive stock option granted to a participant who owned more than 10% of the total combined voting power of all classes of Serve stock, or of certain of Serve’s subsidiary corporations, did not have a term in excess of five years and had an exercise price per share of at least 110% of the fair market value per share of Serve common stock on the grant date. Subject to the provisions of the 2021 Stock Plan, the Serve board of directors determined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except for a termination for cause, the option will generally remain exercisable for three months following the termination of service. In the event of a termination for cause, the option will immediately terminate. However, in no event may an option be exercised later than the expiration of its term.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88" w:name="page89"/>
    <w:bookmarkEnd w:id="88"/>
    <w:p>
      <w:pPr>
        <w:jc w:val="both"/>
        <w:ind w:left="2"/>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Restricted Stock. </w:t>
      </w:r>
      <w:r>
        <w:rPr>
          <w:rFonts w:ascii="Times New Roman" w:cs="Times New Roman" w:eastAsia="Times New Roman" w:hAnsi="Times New Roman"/>
          <w:sz w:val="16"/>
          <w:szCs w:val="16"/>
          <w:color w:val="auto"/>
        </w:rPr>
        <w:t>The Serve board of directors granted stock options under the 2021 Stock Plan. Subject to the provisions of the 2021 Stock Plan, the Serve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determined the terms of the restricted stock, including the number of shares that the participant will be entitled to purchase, the price to be paid, if any, the time within which such participant must accept the offer to purchase the restricted stock, and the other terms applicable to the award. Unless the Serve board of directors determines otherwise, the restricted stock purchase agreement evidencing the award grants Serve a repurchase option exercisable upon the voluntary or involuntary termination of the participant’s service for any reason at a purchase price equal the original purchase price paid by the participant. The Serve board of directors determines the rate at which the repurchase option lapses. Once the restricted stock is purchased by the participant, the participant will have the rights equivalent to those of a holder of Serve capital stock, and shall be a record holder when his or her purchase and the issuance of the shares is entered upon the records of the duly authorized transfer agent of the Company.</w:t>
      </w:r>
    </w:p>
    <w:p>
      <w:pPr>
        <w:spacing w:after="0" w:line="361" w:lineRule="exact"/>
        <w:rPr>
          <w:sz w:val="20"/>
          <w:szCs w:val="20"/>
          <w:color w:val="auto"/>
        </w:rPr>
      </w:pPr>
    </w:p>
    <w:p>
      <w:pPr>
        <w:jc w:val="both"/>
        <w:ind w:left="2"/>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Non-transferability of Awards. </w:t>
      </w:r>
      <w:r>
        <w:rPr>
          <w:rFonts w:ascii="Times New Roman" w:cs="Times New Roman" w:eastAsia="Times New Roman" w:hAnsi="Times New Roman"/>
          <w:sz w:val="16"/>
          <w:szCs w:val="16"/>
          <w:color w:val="auto"/>
        </w:rPr>
        <w:t>Unless the Serve board of directors provided otherwise, the 2021 Stock Plan generally did not allow for the transfer of awards or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acquired pursuant to an award and only the recipient of an option may exercise such an award during his or her lifetime.</w:t>
      </w:r>
    </w:p>
    <w:p>
      <w:pPr>
        <w:spacing w:after="0" w:line="134"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Certain Adjustments. </w:t>
      </w:r>
      <w:r>
        <w:rPr>
          <w:rFonts w:ascii="Times New Roman" w:cs="Times New Roman" w:eastAsia="Times New Roman" w:hAnsi="Times New Roman"/>
          <w:sz w:val="16"/>
          <w:szCs w:val="16"/>
          <w:color w:val="auto"/>
        </w:rPr>
        <w:t>In the event of certain corporate events or changes in Serve’s capitalization, to prevent diminution or enlargement of the benefits or potential benefits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under the 2021 Stock Plan, the Serve board of directors will make adjustments to the number of shares reserved for issuance under the 2021 Stock Plan, the exercise prices of and number of shares subject to each outstanding stock option and the purchase prices of and number of shares subject to each other outstanding stock award.</w:t>
      </w:r>
    </w:p>
    <w:p>
      <w:pPr>
        <w:spacing w:after="0" w:line="354"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Corporate Transaction. </w:t>
      </w:r>
      <w:r>
        <w:rPr>
          <w:rFonts w:ascii="Times New Roman" w:cs="Times New Roman" w:eastAsia="Times New Roman" w:hAnsi="Times New Roman"/>
          <w:sz w:val="16"/>
          <w:szCs w:val="16"/>
          <w:color w:val="auto"/>
        </w:rPr>
        <w:t>The 2021 Stock Plan provides that in the event of certain significant corporate transactions, including: (i) a transfer of all or substantially all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Serve’s assets, (ii) a merger, consolidation or other capital reorganization or business combination transaction of Serve with or into another corporation, entity or person, or</w:t>
      </w:r>
    </w:p>
    <w:p>
      <w:pPr>
        <w:spacing w:after="0" w:line="1" w:lineRule="exact"/>
        <w:rPr>
          <w:sz w:val="20"/>
          <w:szCs w:val="20"/>
          <w:color w:val="auto"/>
        </w:rPr>
      </w:pPr>
    </w:p>
    <w:p>
      <w:pPr>
        <w:ind w:left="2" w:hanging="2"/>
        <w:spacing w:after="0" w:line="272" w:lineRule="auto"/>
        <w:tabs>
          <w:tab w:leader="none" w:pos="30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transaction, or series of related transactions, in which any person becomes the beneficial owner, directly or indirectly, of more than 50% of Serve’s then outstanding capital stock, each outstanding award will be treated as the Serve board of directors determines.</w:t>
      </w:r>
    </w:p>
    <w:p>
      <w:pPr>
        <w:spacing w:after="0" w:line="153"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Amendment or Termination. </w:t>
      </w:r>
      <w:r>
        <w:rPr>
          <w:rFonts w:ascii="Times New Roman" w:cs="Times New Roman" w:eastAsia="Times New Roman" w:hAnsi="Times New Roman"/>
          <w:sz w:val="16"/>
          <w:szCs w:val="16"/>
          <w:color w:val="auto"/>
        </w:rPr>
        <w:t>Serve’s board of directors may amend or terminate the 2021 Stock Plan at any time, provided such action does not materially and adversely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affect the rights of any participant without his or her consent. In addition, stockholder approval must be obtained to the extent necessary and desirable to comply with applicable laws.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Benefits</w:t>
      </w:r>
    </w:p>
    <w:p>
      <w:pPr>
        <w:spacing w:after="0" w:line="211"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16"/>
          <w:szCs w:val="16"/>
          <w:color w:val="auto"/>
        </w:rPr>
        <w:t>In 2022, the Company provided benefits to its named executive officers on the same basis as provided to all of its employees, including medical, dental, vision, life and AD&amp;D, and short- and long-term disability insurance, flexible spending accounts, vacation and paid holidays. The named executive officers are also eligible to participate in the Company’s 401(k) plan.</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3" w:right="339" w:bottom="1440" w:gutter="0" w:footer="0" w:header="0"/>
        </w:sectPr>
      </w:pPr>
    </w:p>
    <w:bookmarkStart w:id="89" w:name="page90"/>
    <w:bookmarkEnd w:id="89"/>
    <w:p>
      <w:pPr>
        <w:ind w:left="2"/>
        <w:spacing w:after="0"/>
        <w:rPr>
          <w:sz w:val="20"/>
          <w:szCs w:val="20"/>
          <w:color w:val="auto"/>
        </w:rPr>
      </w:pPr>
      <w:r>
        <w:rPr>
          <w:rFonts w:ascii="Times New Roman" w:cs="Times New Roman" w:eastAsia="Times New Roman" w:hAnsi="Times New Roman"/>
          <w:sz w:val="16"/>
          <w:szCs w:val="16"/>
          <w:i w:val="1"/>
          <w:iCs w:val="1"/>
          <w:color w:val="auto"/>
        </w:rPr>
        <w:t>Outstanding Equity Awards at Fiscal Year-End</w:t>
      </w:r>
    </w:p>
    <w:p>
      <w:pPr>
        <w:spacing w:after="0" w:line="211" w:lineRule="exact"/>
        <w:rPr>
          <w:sz w:val="20"/>
          <w:szCs w:val="20"/>
          <w:color w:val="auto"/>
        </w:rPr>
      </w:pPr>
    </w:p>
    <w:p>
      <w:pPr>
        <w:ind w:left="2"/>
        <w:spacing w:after="0" w:line="267" w:lineRule="auto"/>
        <w:rPr>
          <w:sz w:val="20"/>
          <w:szCs w:val="20"/>
          <w:color w:val="auto"/>
        </w:rPr>
      </w:pPr>
      <w:r>
        <w:rPr>
          <w:rFonts w:ascii="Times New Roman" w:cs="Times New Roman" w:eastAsia="Times New Roman" w:hAnsi="Times New Roman"/>
          <w:sz w:val="16"/>
          <w:szCs w:val="16"/>
          <w:color w:val="auto"/>
        </w:rPr>
        <w:t>The following table sets forth information regarding each unexercised stock option or unvested stock award held by each named executive officer as of December 31, 2023.</w:t>
      </w:r>
    </w:p>
    <w:p>
      <w:pPr>
        <w:spacing w:after="0" w:line="323" w:lineRule="exact"/>
        <w:rPr>
          <w:sz w:val="20"/>
          <w:szCs w:val="20"/>
          <w:color w:val="auto"/>
        </w:rPr>
      </w:pPr>
    </w:p>
    <w:tbl>
      <w:tblPr>
        <w:tblLayout w:type="fixed"/>
        <w:tblInd w:w="2" w:type="dxa"/>
        <w:tblCellMar>
          <w:top w:w="0" w:type="dxa"/>
          <w:left w:w="0" w:type="dxa"/>
          <w:bottom w:w="0" w:type="dxa"/>
          <w:right w:w="0" w:type="dxa"/>
        </w:tblCellMar>
      </w:tblPr>
      <w:tr>
        <w:trPr>
          <w:trHeight w:val="315"/>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4"/>
              </w:rPr>
              <w:t>Option Awards</w:t>
            </w:r>
            <w:r>
              <w:rPr>
                <w:rFonts w:ascii="Times New Roman" w:cs="Times New Roman" w:eastAsia="Times New Roman" w:hAnsi="Times New Roman"/>
                <w:sz w:val="27"/>
                <w:szCs w:val="27"/>
                <w:b w:val="1"/>
                <w:bCs w:val="1"/>
                <w:color w:val="auto"/>
                <w:w w:val="94"/>
                <w:vertAlign w:val="superscript"/>
              </w:rPr>
              <w:t>(1)</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bottom w:val="single" w:sz="8" w:color="auto"/>
            </w:tcBorders>
            <w:gridSpan w:val="5"/>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7"/>
                <w:szCs w:val="27"/>
                <w:b w:val="1"/>
                <w:bCs w:val="1"/>
                <w:color w:val="auto"/>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5"/>
                <w:szCs w:val="15"/>
                <w:color w:val="auto"/>
              </w:rPr>
            </w:pPr>
          </w:p>
        </w:tc>
        <w:tc>
          <w:tcPr>
            <w:tcW w:w="12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220" w:type="dxa"/>
            <w:vAlign w:val="bottom"/>
          </w:tcPr>
          <w:p>
            <w:pPr>
              <w:spacing w:after="0"/>
              <w:rPr>
                <w:sz w:val="14"/>
                <w:szCs w:val="14"/>
                <w:color w:val="auto"/>
              </w:rPr>
            </w:pPr>
          </w:p>
        </w:tc>
        <w:tc>
          <w:tcPr>
            <w:tcW w:w="122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52"/>
              <w:spacing w:after="0" w:line="168" w:lineRule="exact"/>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6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20" w:type="dxa"/>
            <w:vAlign w:val="bottom"/>
            <w:gridSpan w:val="2"/>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shares that</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20" w:type="dxa"/>
            <w:vAlign w:val="bottom"/>
            <w:gridSpan w:val="2"/>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6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20" w:type="dxa"/>
            <w:vAlign w:val="bottom"/>
            <w:gridSpan w:val="2"/>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0" w:type="dxa"/>
            <w:vAlign w:val="bottom"/>
          </w:tcPr>
          <w:p>
            <w:pPr>
              <w:spacing w:after="0"/>
              <w:rPr>
                <w:sz w:val="1"/>
                <w:szCs w:val="1"/>
                <w:color w:val="auto"/>
              </w:rPr>
            </w:pPr>
          </w:p>
        </w:tc>
      </w:tr>
      <w:tr>
        <w:trPr>
          <w:trHeight w:val="250"/>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3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58"/>
              <w:spacing w:after="0" w:line="245" w:lineRule="exact"/>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27"/>
                <w:szCs w:val="27"/>
                <w:b w:val="1"/>
                <w:bCs w:val="1"/>
                <w:color w:val="auto"/>
                <w:w w:val="85"/>
                <w:vertAlign w:val="superscript"/>
              </w:rPr>
              <w:t>(3)</w:t>
            </w: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8"/>
              <w:spacing w:after="0" w:line="245" w:lineRule="exact"/>
              <w:rPr>
                <w:sz w:val="20"/>
                <w:szCs w:val="20"/>
                <w:color w:val="auto"/>
              </w:rPr>
            </w:pPr>
            <w:r>
              <w:rPr>
                <w:rFonts w:ascii="Times New Roman" w:cs="Times New Roman" w:eastAsia="Times New Roman" w:hAnsi="Times New Roman"/>
                <w:sz w:val="16"/>
                <w:szCs w:val="16"/>
                <w:b w:val="1"/>
                <w:bCs w:val="1"/>
                <w:color w:val="auto"/>
                <w:w w:val="90"/>
              </w:rPr>
              <w:t>($)</w:t>
            </w:r>
            <w:r>
              <w:rPr>
                <w:rFonts w:ascii="Times New Roman" w:cs="Times New Roman" w:eastAsia="Times New Roman" w:hAnsi="Times New Roman"/>
                <w:sz w:val="27"/>
                <w:szCs w:val="27"/>
                <w:b w:val="1"/>
                <w:bCs w:val="1"/>
                <w:color w:val="auto"/>
                <w:w w:val="90"/>
                <w:vertAlign w:val="superscript"/>
              </w:rPr>
              <w:t>(4)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Ali Kashani</w:t>
            </w:r>
          </w:p>
        </w:tc>
        <w:tc>
          <w:tcPr>
            <w:tcW w:w="12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4/27/2021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1,749,844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4/27/2021</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16"/>
                <w:szCs w:val="16"/>
                <w:color w:val="auto"/>
              </w:rPr>
              <w:t>468,708</w:t>
            </w:r>
            <w:r>
              <w:rPr>
                <w:rFonts w:ascii="Times New Roman" w:cs="Times New Roman" w:eastAsia="Times New Roman" w:hAnsi="Times New Roman"/>
                <w:sz w:val="27"/>
                <w:szCs w:val="27"/>
                <w:color w:val="auto"/>
                <w:vertAlign w:val="superscript"/>
              </w:rPr>
              <w:t>(6)</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6/7/2023</w:t>
            </w:r>
          </w:p>
        </w:tc>
        <w:tc>
          <w:tcPr>
            <w:tcW w:w="3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4"/>
                <w:szCs w:val="14"/>
                <w:color w:val="auto"/>
                <w:w w:val="97"/>
              </w:rPr>
              <w:t>(8)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45,182</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0.95</w:t>
            </w:r>
          </w:p>
        </w:tc>
        <w:tc>
          <w:tcPr>
            <w:tcW w:w="10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6/6/2028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6/7/2023</w:t>
            </w:r>
          </w:p>
        </w:tc>
        <w:tc>
          <w:tcPr>
            <w:tcW w:w="3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16,952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0.95</w:t>
            </w:r>
          </w:p>
        </w:tc>
        <w:tc>
          <w:tcPr>
            <w:tcW w:w="10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6/6/2028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Touraj Parang</w:t>
            </w:r>
          </w:p>
        </w:tc>
        <w:tc>
          <w:tcPr>
            <w:tcW w:w="12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5/6/2021</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line="233" w:lineRule="exact"/>
              <w:rPr>
                <w:sz w:val="20"/>
                <w:szCs w:val="20"/>
                <w:color w:val="auto"/>
              </w:rPr>
            </w:pPr>
            <w:r>
              <w:rPr>
                <w:rFonts w:ascii="Times New Roman" w:cs="Times New Roman" w:eastAsia="Times New Roman" w:hAnsi="Times New Roman"/>
                <w:sz w:val="16"/>
                <w:szCs w:val="16"/>
                <w:color w:val="auto"/>
              </w:rPr>
              <w:t>167,238</w:t>
            </w:r>
            <w:r>
              <w:rPr>
                <w:rFonts w:ascii="Times New Roman" w:cs="Times New Roman" w:eastAsia="Times New Roman" w:hAnsi="Times New Roman"/>
                <w:sz w:val="27"/>
                <w:szCs w:val="27"/>
                <w:color w:val="auto"/>
                <w:vertAlign w:val="superscript"/>
              </w:rPr>
              <w:t>(7)</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5/6/2021</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16"/>
                <w:szCs w:val="16"/>
                <w:color w:val="auto"/>
              </w:rPr>
              <w:t>167,238</w:t>
            </w:r>
            <w:r>
              <w:rPr>
                <w:rFonts w:ascii="Times New Roman" w:cs="Times New Roman" w:eastAsia="Times New Roman" w:hAnsi="Times New Roman"/>
                <w:sz w:val="27"/>
                <w:szCs w:val="27"/>
                <w:color w:val="auto"/>
                <w:vertAlign w:val="superscript"/>
              </w:rPr>
              <w:t>(6)</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6/7/2023</w:t>
            </w:r>
          </w:p>
        </w:tc>
        <w:tc>
          <w:tcPr>
            <w:tcW w:w="3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4"/>
                <w:szCs w:val="14"/>
                <w:color w:val="auto"/>
                <w:w w:val="97"/>
              </w:rPr>
              <w:t>(8)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0.86</w:t>
            </w:r>
          </w:p>
        </w:tc>
        <w:tc>
          <w:tcPr>
            <w:tcW w:w="10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6/6/2033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6/7/2023</w:t>
            </w:r>
          </w:p>
        </w:tc>
        <w:tc>
          <w:tcPr>
            <w:tcW w:w="3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7,396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0.86</w:t>
            </w:r>
          </w:p>
        </w:tc>
        <w:tc>
          <w:tcPr>
            <w:tcW w:w="10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6/6/2033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Euan Abraham</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12/23/2021</w:t>
            </w:r>
          </w:p>
        </w:tc>
        <w:tc>
          <w:tcPr>
            <w:tcW w:w="3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4"/>
                <w:szCs w:val="14"/>
                <w:color w:val="auto"/>
              </w:rPr>
              <w:t>(10)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104,622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96,253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0.49</w:t>
            </w:r>
          </w:p>
        </w:tc>
        <w:tc>
          <w:tcPr>
            <w:tcW w:w="10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12/22/2031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12/23/2021</w:t>
            </w:r>
          </w:p>
        </w:tc>
        <w:tc>
          <w:tcPr>
            <w:tcW w:w="3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4"/>
              </w:rPr>
              <w:t>(11)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37,664</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62,773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0.49</w:t>
            </w:r>
          </w:p>
        </w:tc>
        <w:tc>
          <w:tcPr>
            <w:tcW w:w="10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12/22/2031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6/7/2023</w:t>
            </w:r>
          </w:p>
        </w:tc>
        <w:tc>
          <w:tcPr>
            <w:tcW w:w="3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4"/>
                <w:szCs w:val="14"/>
                <w:color w:val="auto"/>
                <w:w w:val="97"/>
              </w:rPr>
              <w:t>(8)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12,909</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0.86</w:t>
            </w:r>
          </w:p>
        </w:tc>
        <w:tc>
          <w:tcPr>
            <w:tcW w:w="100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rPr>
              <w:t>6/6/2033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6/7/2023</w:t>
            </w:r>
          </w:p>
        </w:tc>
        <w:tc>
          <w:tcPr>
            <w:tcW w:w="3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7"/>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4,196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0.86</w:t>
            </w:r>
          </w:p>
        </w:tc>
        <w:tc>
          <w:tcPr>
            <w:tcW w:w="10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6/6/2033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2" w:hanging="302"/>
        <w:spacing w:after="0"/>
        <w:tabs>
          <w:tab w:leader="none" w:pos="30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stock options listed above cover shares of our common stock following the closing of the Merger and were granted under the 2021 Stock Plan.</w:t>
      </w:r>
    </w:p>
    <w:p>
      <w:pPr>
        <w:spacing w:after="0" w:line="208"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restricted shares listed above cover shares of our common stock following the closing of the Merger. The restricted shares held by Mr. Parang were issued pursuant to the 2021 Stock Plan, while the restricted shares held by Dr. Kashani were issued outside of the 2021 Stock Plan.</w:t>
      </w:r>
    </w:p>
    <w:p>
      <w:pPr>
        <w:spacing w:after="0" w:line="13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represents the fair market value of a share of Serve common stock on the date of grant, as determined by the Serve board of directors.</w:t>
      </w:r>
    </w:p>
    <w:p>
      <w:pPr>
        <w:spacing w:after="0" w:line="208"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represents the number of unvested restricted shares outstanding as of December 31, 2023, multiplied by $4.00, which is the per share value of Serve common stock as of December 31, 2023.</w:t>
      </w:r>
    </w:p>
    <w:p>
      <w:pPr>
        <w:spacing w:after="0" w:line="141" w:lineRule="exact"/>
        <w:rPr>
          <w:rFonts w:ascii="Times New Roman" w:cs="Times New Roman" w:eastAsia="Times New Roman" w:hAnsi="Times New Roman"/>
          <w:sz w:val="16"/>
          <w:szCs w:val="16"/>
          <w:color w:val="auto"/>
        </w:rPr>
      </w:pPr>
    </w:p>
    <w:p>
      <w:pPr>
        <w:ind w:left="302" w:hanging="302"/>
        <w:spacing w:after="0" w:line="188" w:lineRule="auto"/>
        <w:tabs>
          <w:tab w:leader="none" w:pos="302" w:val="left"/>
        </w:tabs>
        <w:numPr>
          <w:ilvl w:val="0"/>
          <w:numId w:val="45"/>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6"/>
          <w:szCs w:val="16"/>
          <w:color w:val="auto"/>
        </w:rPr>
        <w:t>The restricted shares are subject to a 4-year vesting schedule, with 25% of the shares vesting on February 18, 2022 and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the shares vesting monthly over the 36 month-period thereafter, subject to the executive’s continued employment through each vesting date.</w:t>
      </w:r>
    </w:p>
    <w:p>
      <w:pPr>
        <w:spacing w:after="0" w:line="180" w:lineRule="exact"/>
        <w:rPr>
          <w:rFonts w:ascii="Times New Roman" w:cs="Times New Roman" w:eastAsia="Times New Roman" w:hAnsi="Times New Roman"/>
          <w:sz w:val="33"/>
          <w:szCs w:val="33"/>
          <w:color w:val="auto"/>
          <w:vertAlign w:val="superscript"/>
        </w:rPr>
      </w:pPr>
    </w:p>
    <w:p>
      <w:pPr>
        <w:ind w:left="302" w:hanging="302"/>
        <w:spacing w:after="0" w:line="288" w:lineRule="auto"/>
        <w:tabs>
          <w:tab w:leader="none" w:pos="30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shares are subject to a 4-year vesting schedule running from the date the Board retroactively determined that vesting should run regardless of Milestone achievement, with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the shares vesting on July 15, 2022 and monthly thereafter, subject to the executive’s continued employment through each vesting date.</w:t>
      </w:r>
    </w:p>
    <w:p>
      <w:pPr>
        <w:spacing w:after="0" w:line="36" w:lineRule="exact"/>
        <w:rPr>
          <w:rFonts w:ascii="Times New Roman" w:cs="Times New Roman" w:eastAsia="Times New Roman" w:hAnsi="Times New Roman"/>
          <w:sz w:val="16"/>
          <w:szCs w:val="16"/>
          <w:color w:val="auto"/>
        </w:rPr>
      </w:pPr>
    </w:p>
    <w:p>
      <w:pPr>
        <w:ind w:left="302" w:hanging="302"/>
        <w:spacing w:after="0" w:line="188" w:lineRule="auto"/>
        <w:tabs>
          <w:tab w:leader="none" w:pos="302" w:val="left"/>
        </w:tabs>
        <w:numPr>
          <w:ilvl w:val="0"/>
          <w:numId w:val="45"/>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6"/>
          <w:szCs w:val="16"/>
          <w:color w:val="auto"/>
        </w:rPr>
        <w:t>The restricted shares are subject to a 4-year vesting schedule, with 25% of the shares vesting on March 22, 2022 and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the shares vesting monthly over the 36 month-period thereafter, subject to the executive’s continued employment through each vesting date.</w:t>
      </w:r>
    </w:p>
    <w:p>
      <w:pPr>
        <w:spacing w:after="0" w:line="180" w:lineRule="exact"/>
        <w:rPr>
          <w:rFonts w:ascii="Times New Roman" w:cs="Times New Roman" w:eastAsia="Times New Roman" w:hAnsi="Times New Roman"/>
          <w:sz w:val="33"/>
          <w:szCs w:val="33"/>
          <w:color w:val="auto"/>
          <w:vertAlign w:val="superscript"/>
        </w:rPr>
      </w:pPr>
    </w:p>
    <w:p>
      <w:pPr>
        <w:ind w:left="302" w:hanging="302"/>
        <w:spacing w:after="0" w:line="294" w:lineRule="auto"/>
        <w:tabs>
          <w:tab w:leader="none" w:pos="30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option shares vested and became exercisable on the one-month anniversary of the closing of the Merger, subject to the executive’s continued employment through the vesting date.</w:t>
      </w:r>
    </w:p>
    <w:p>
      <w:pPr>
        <w:spacing w:after="0" w:line="141" w:lineRule="exact"/>
        <w:rPr>
          <w:rFonts w:ascii="Times New Roman" w:cs="Times New Roman" w:eastAsia="Times New Roman" w:hAnsi="Times New Roman"/>
          <w:sz w:val="16"/>
          <w:szCs w:val="16"/>
          <w:color w:val="auto"/>
        </w:rPr>
      </w:pPr>
    </w:p>
    <w:p>
      <w:pPr>
        <w:ind w:left="302" w:hanging="302"/>
        <w:spacing w:after="0" w:line="188" w:lineRule="auto"/>
        <w:tabs>
          <w:tab w:leader="none" w:pos="302" w:val="left"/>
        </w:tabs>
        <w:numPr>
          <w:ilvl w:val="0"/>
          <w:numId w:val="45"/>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6"/>
          <w:szCs w:val="16"/>
          <w:color w:val="auto"/>
        </w:rPr>
        <w:t>The options are subject to a 4-year vesting schedule, with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the option shares vesting on July 1, 2023 and monthly thereafter, subject to the executive’s continued employment through each vesting date.</w:t>
      </w:r>
    </w:p>
    <w:p>
      <w:pPr>
        <w:spacing w:after="0" w:line="184" w:lineRule="exact"/>
        <w:rPr>
          <w:rFonts w:ascii="Times New Roman" w:cs="Times New Roman" w:eastAsia="Times New Roman" w:hAnsi="Times New Roman"/>
          <w:sz w:val="33"/>
          <w:szCs w:val="33"/>
          <w:color w:val="auto"/>
          <w:vertAlign w:val="superscript"/>
        </w:rPr>
      </w:pPr>
    </w:p>
    <w:p>
      <w:pPr>
        <w:ind w:left="302" w:hanging="302"/>
        <w:spacing w:after="0" w:line="225" w:lineRule="auto"/>
        <w:tabs>
          <w:tab w:leader="none" w:pos="302"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The options are subject to a 4-year vesting schedule, with 25% of the option shares vesting on November 1, 2022 and 1/48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of the option shares vesting monthly over the 36-month period thereafter, subject to the executive’s continued employment through each vesting date.</w:t>
      </w:r>
    </w:p>
    <w:p>
      <w:pPr>
        <w:spacing w:after="0" w:line="180" w:lineRule="exact"/>
        <w:rPr>
          <w:rFonts w:ascii="Times New Roman" w:cs="Times New Roman" w:eastAsia="Times New Roman" w:hAnsi="Times New Roman"/>
          <w:sz w:val="27"/>
          <w:szCs w:val="27"/>
          <w:color w:val="auto"/>
          <w:vertAlign w:val="superscript"/>
        </w:rPr>
      </w:pPr>
    </w:p>
    <w:p>
      <w:pPr>
        <w:jc w:val="both"/>
        <w:ind w:left="302" w:hanging="302"/>
        <w:spacing w:after="0" w:line="227" w:lineRule="auto"/>
        <w:tabs>
          <w:tab w:leader="none" w:pos="30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are subject to a 4-year vesting schedule running from the date the Board retroactively determined that vesting should run regardless of Milestone achievement, with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the option shares vesting on July 15, 2022 and monthly thereafter, subject to the executive’s continued employment through each vesting date.</w:t>
      </w:r>
    </w:p>
    <w:p>
      <w:pPr>
        <w:spacing w:after="0" w:line="37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3" w:right="339" w:bottom="1440" w:gutter="0" w:footer="0" w:header="0"/>
        </w:sectPr>
      </w:pPr>
    </w:p>
    <w:bookmarkStart w:id="90" w:name="page91"/>
    <w:bookmarkEnd w:id="90"/>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Arrangements</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Touraj Parang Offer Letter</w:t>
      </w:r>
    </w:p>
    <w:p>
      <w:pPr>
        <w:spacing w:after="0" w:line="211" w:lineRule="exact"/>
        <w:rPr>
          <w:sz w:val="20"/>
          <w:szCs w:val="20"/>
          <w:color w:val="auto"/>
        </w:rPr>
      </w:pPr>
    </w:p>
    <w:p>
      <w:pPr>
        <w:jc w:val="both"/>
        <w:ind w:left="2"/>
        <w:spacing w:after="0" w:line="294" w:lineRule="auto"/>
        <w:rPr>
          <w:sz w:val="20"/>
          <w:szCs w:val="20"/>
          <w:color w:val="auto"/>
        </w:rPr>
      </w:pPr>
      <w:r>
        <w:rPr>
          <w:rFonts w:ascii="Times New Roman" w:cs="Times New Roman" w:eastAsia="Times New Roman" w:hAnsi="Times New Roman"/>
          <w:sz w:val="16"/>
          <w:szCs w:val="16"/>
          <w:color w:val="auto"/>
        </w:rPr>
        <w:t>On March 1, 2021, Serve entered into an offer letter with the Company’s President and Chief Operating Officer, Touraj Parang, pursuant to which Mr. Parang is entitled to an annual base salary of $250,000 per year.</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Mr. Parang is eligible to participate in the Company employee benefits plans maintained by the Company and generally made available to similarly situated employees. Mr.</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Parang’s employment is “at-will” and may be terminated by either party at any time.</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Mr. Parang will continue to be employed by the Company under the terms of his offer letter with the Company.</w:t>
      </w:r>
    </w:p>
    <w:p>
      <w:pPr>
        <w:spacing w:after="0" w:line="207" w:lineRule="exact"/>
        <w:rPr>
          <w:sz w:val="20"/>
          <w:szCs w:val="20"/>
          <w:color w:val="auto"/>
        </w:rPr>
      </w:pPr>
    </w:p>
    <w:p>
      <w:pPr>
        <w:jc w:val="both"/>
        <w:ind w:left="2"/>
        <w:spacing w:after="0" w:line="297" w:lineRule="auto"/>
        <w:rPr>
          <w:sz w:val="20"/>
          <w:szCs w:val="20"/>
          <w:color w:val="auto"/>
        </w:rPr>
      </w:pPr>
      <w:r>
        <w:rPr>
          <w:rFonts w:ascii="Times New Roman" w:cs="Times New Roman" w:eastAsia="Times New Roman" w:hAnsi="Times New Roman"/>
          <w:sz w:val="16"/>
          <w:szCs w:val="16"/>
          <w:color w:val="auto"/>
        </w:rPr>
        <w:t>For additional information regarding a termination payment letter entered into with Mr. Parang in fiscal year 2021, please see the section below titled “</w:t>
      </w:r>
      <w:r>
        <w:rPr>
          <w:rFonts w:ascii="Times New Roman" w:cs="Times New Roman" w:eastAsia="Times New Roman" w:hAnsi="Times New Roman"/>
          <w:sz w:val="16"/>
          <w:szCs w:val="16"/>
          <w:i w:val="1"/>
          <w:iCs w:val="1"/>
          <w:color w:val="auto"/>
        </w:rPr>
        <w:t>Potential Payments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Upon Termination or Change in Control — Parang Termination Payment Letter</w:t>
      </w:r>
      <w:r>
        <w:rPr>
          <w:rFonts w:ascii="Times New Roman" w:cs="Times New Roman" w:eastAsia="Times New Roman" w:hAnsi="Times New Roman"/>
          <w:sz w:val="16"/>
          <w:szCs w:val="16"/>
          <w:color w:val="auto"/>
        </w:rPr>
        <w:t>” in this registration statement on Form S-1.</w:t>
      </w:r>
    </w:p>
    <w:p>
      <w:pPr>
        <w:spacing w:after="0" w:line="1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Euan Abraham Offer Letter</w:t>
      </w:r>
    </w:p>
    <w:p>
      <w:pPr>
        <w:spacing w:after="0" w:line="211"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16"/>
          <w:szCs w:val="16"/>
          <w:color w:val="auto"/>
        </w:rPr>
        <w:t>On October 7, 2021, Serve entered into an offer letter whereby Euan Abraham agreed to serve as the Company’s Senior Vice President of Hardware Engineering beginning January 1, 2022 pursuant to which Mr. Abraham is entitled to an annual base salary of $300,000 per year. In November 2022, Mr. Abraham’s annual base salary was adjusted to $240,000 per year.</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Mr. Abraham is eligible to participate in the Company employee benefits plans maintained by the Company and generally made available to similarly situated employees.</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Mr. Abraham’s employment is “at-will” and may be terminated by either party at any time.</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Mr. Abraham will continue to be employed by the Company under the terms of his offer letter with the Company.</w:t>
      </w:r>
    </w:p>
    <w:p>
      <w:pPr>
        <w:spacing w:after="0" w:line="2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Potential Payments Upon Termination or Change in Control</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Time-Based Awards and Milestone-Based Awards</w:t>
      </w:r>
    </w:p>
    <w:p>
      <w:pPr>
        <w:spacing w:after="0" w:line="211"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The Time-Based Awards and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30th day after the date of involuntary termination.</w:t>
      </w:r>
    </w:p>
    <w:p>
      <w:pPr>
        <w:spacing w:after="0" w:line="157"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In the event the applicable executive’s service with the Company terminates for any reason, any unvested shares subject to the Time-Based Awards and Milestone-Based Awards granted to Dr. Kashani and Mr. Parang may be repurchased by the Company within 3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3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spacing w:after="0" w:line="165"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For purposes of the Time-Based Awards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w:t>
      </w:r>
    </w:p>
    <w:p>
      <w:pPr>
        <w:spacing w:after="0" w:line="2" w:lineRule="exact"/>
        <w:rPr>
          <w:sz w:val="20"/>
          <w:szCs w:val="20"/>
          <w:color w:val="auto"/>
        </w:rPr>
      </w:pPr>
    </w:p>
    <w:p>
      <w:pPr>
        <w:jc w:val="both"/>
        <w:ind w:left="2" w:hanging="2"/>
        <w:spacing w:after="0" w:line="259" w:lineRule="auto"/>
        <w:tabs>
          <w:tab w:leader="none" w:pos="28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executive’s repeated failure to follow reasonable and lawful instructions from the Company’s board of directors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 (vii) 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1" w:right="339" w:bottom="1440" w:gutter="0" w:footer="0" w:header="0"/>
        </w:sectPr>
      </w:pPr>
    </w:p>
    <w:bookmarkStart w:id="91" w:name="page92"/>
    <w:bookmarkEnd w:id="91"/>
    <w:p>
      <w:pPr>
        <w:jc w:val="both"/>
        <w:spacing w:after="0" w:line="260" w:lineRule="auto"/>
        <w:rPr>
          <w:sz w:val="20"/>
          <w:szCs w:val="20"/>
          <w:color w:val="auto"/>
        </w:rPr>
      </w:pPr>
      <w:r>
        <w:rPr>
          <w:rFonts w:ascii="Times New Roman" w:cs="Times New Roman" w:eastAsia="Times New Roman" w:hAnsi="Times New Roman"/>
          <w:sz w:val="16"/>
          <w:szCs w:val="16"/>
          <w:color w:val="auto"/>
        </w:rPr>
        <w:t>For purposes of the Kashani Time-Based Award and the Kashani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the executive’s then-current base salary is reduced by more than 10% (other than as part of an across-the-board salary reduction applicable to all similarly situated employees); (ii) a material reduction of the executive’s duties, authority, responsibilities or reporting relationship, relative to the executive’s duties, authority, responsibilities or reporting relationship as in effect immediately prior to such reduction; or (iii) the Company (or its successor) conditions the executive’s continued service on the executive being transferred to a site of employment that would increase the executive’s one-way commute by more than 50 miles from the executive’s then-principal residence. In order for the executive to resign for good reason, the executive must provide written notice to the Company of the existence of the good reason condition within 30 days of the initial existence of such condition. Upon receipt of such notice, the Company will have 30 days during which it may remedy the condition and not be required to provide for the acceleration described herein as a result of such proposed resignation. If the condition is not remedied within such 30-day period, the executive may resign based on the condition specified in the notice effective no later than 60 days following the expiration of the Company’s 30-day cure period.</w:t>
      </w:r>
    </w:p>
    <w:p>
      <w:pPr>
        <w:spacing w:after="0" w:line="3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purposes of the Parang Time-Based Award and the Parang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a reduction of the executive’s then current base salary by 10% or more unless such reduction is part of a generalized salary reduction affecting similarly situated employees; (ii) a change in the executive’s position with the Company that materially reduces the executive’s duties, level of authority or responsibility; or (iii) the Company conditions the executive’s continued service with the Company on the executive’s being transferred to a site of employment that would increase the executive’s one-way commute by more than 35 miles from Purchaser’s then principal residence.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Parang Termination Payment Letter</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June 23, 2021, Serve entered into a termination payment letter agreement with Mr. Parang (the “Termination Payment Letter”), which provides that if (i) 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6"/>
          <w:szCs w:val="16"/>
          <w:color w:val="auto"/>
        </w:rPr>
        <w:t>date of termination. The termination payment will be paid in a lump sum on the first regularly scheduled payroll date after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30th day after the date of termination.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Kashani Termination Payment Letter</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6"/>
          <w:szCs w:val="16"/>
          <w:color w:val="auto"/>
        </w:rPr>
        <w:t>common stock as of the date of termination. The termination payment will be paid in a lump sum on the first regularly scheduled payroll date after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30th day after the date of termination.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color w:val="auto"/>
        </w:rPr>
        <w:t>Compensation Recovery Policy</w:t>
      </w:r>
    </w:p>
    <w:p>
      <w:pPr>
        <w:spacing w:after="0" w:line="21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accordance with the final rules adopted by the SEC and Nasdaq implementing the incentive-based compensation recovery provisions of the Dodd-Frank Act, our board of directors approved the Serve Robotics Inc. Compensation Recovery Policy, effective as of October 2, 2023,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2023 Equity Incentive Plan</w:t>
      </w:r>
    </w:p>
    <w:p>
      <w:pPr>
        <w:spacing w:after="0" w:line="21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Set forth below is a summary of the material features of the 2023 Plan. The 2023 Plan is set forth in its entirety as an Exhibit to this registration statement on Form S-1, and all descriptions of the 2023 Plan contained in this section are qualified by reference to the complete text of the 2023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Purpose</w:t>
      </w:r>
    </w:p>
    <w:p>
      <w:pPr>
        <w:spacing w:after="0" w:line="21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The 2023 Plan is intended to (i) attract and retain the best available personnel to ensure our success and accomplish our goals, (ii) incentivize employees, directors and independent contractors with long-term equity-based compensation to align their interests with our stockholders, and (iii) promote the success of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Types of Stock Awards</w:t>
      </w:r>
    </w:p>
    <w:p>
      <w:pPr>
        <w:spacing w:after="0" w:line="21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The 2023 Plan permits the grant of incentive stock options, nonstatutory stock options, stock appreciation rights (“SARs”), restricted stock, restricted stock units (“RSUs”) and stock bonus awards (all such types of awards, collectively, “stock awards”).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Reserve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Number of Shares</w:t>
      </w:r>
    </w:p>
    <w:p>
      <w:pPr>
        <w:spacing w:after="0" w:line="20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5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of directors, 4% of the shares of common stock issued and outstanding on the last day of the immediately preceding month on a fully-diluted and as-converted basis and (ii) such other number of shares determined by our board of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Lapsed Awards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To the extent, stock awards or awards or shares issued under the 2021 Plan that are assumed by the Company pursuant to the Merger Agreement (“Existing Plan Awards”) expire or are forfeited or becomes unexercisable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93" w:name="page94"/>
    <w:bookmarkEnd w:id="93"/>
    <w:p>
      <w:pPr>
        <w:ind w:left="2"/>
        <w:spacing w:after="0"/>
        <w:rPr>
          <w:sz w:val="20"/>
          <w:szCs w:val="20"/>
          <w:color w:val="auto"/>
        </w:rPr>
      </w:pPr>
      <w:r>
        <w:rPr>
          <w:rFonts w:ascii="Times New Roman" w:cs="Times New Roman" w:eastAsia="Times New Roman" w:hAnsi="Times New Roman"/>
          <w:sz w:val="16"/>
          <w:szCs w:val="16"/>
          <w:u w:val="single" w:color="auto"/>
          <w:color w:val="auto"/>
        </w:rPr>
        <w:t>Assumption or Substitution of Awards</w:t>
      </w:r>
    </w:p>
    <w:p>
      <w:pPr>
        <w:spacing w:after="0" w:line="209"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The Plan Administrator (as defined below), from time to time, may determine to substitute or assume outstanding awards granted by another company, whether in connection with an acquisition of such other company or otherwise, by either: (a) assuming such award under the 2023 Plan or (b) granting a stock award under the 2023 Plan in substitution of such other company’s award. Such assumption or substitution will be permissible if the holder of the substituted or assumed award would have been eligible to be granted a stock award under the 2023 Plan if the other company had applied the rules of the 2023 Plan to such grant. In the event the Plan Administrator elects to assume an award granted by another company, subject to the requirements of Section 409A of the Code (“Section 409A”),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Plan shall not reduce the number of shares authorized for grant under the 2023 Plan or authorized for grant to a participant in any fiscal year.</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Eligibility</w:t>
      </w:r>
    </w:p>
    <w:p>
      <w:pPr>
        <w:spacing w:after="0" w:line="211" w:lineRule="exact"/>
        <w:rPr>
          <w:sz w:val="20"/>
          <w:szCs w:val="20"/>
          <w:color w:val="auto"/>
        </w:rPr>
      </w:pPr>
    </w:p>
    <w:p>
      <w:pPr>
        <w:jc w:val="both"/>
        <w:ind w:left="2" w:right="20"/>
        <w:spacing w:after="0" w:line="294" w:lineRule="auto"/>
        <w:rPr>
          <w:sz w:val="20"/>
          <w:szCs w:val="20"/>
          <w:color w:val="auto"/>
        </w:rPr>
      </w:pPr>
      <w:r>
        <w:rPr>
          <w:rFonts w:ascii="Times New Roman" w:cs="Times New Roman" w:eastAsia="Times New Roman" w:hAnsi="Times New Roman"/>
          <w:sz w:val="16"/>
          <w:szCs w:val="16"/>
          <w:color w:val="auto"/>
        </w:rPr>
        <w:t>Employees, directors and independent contractors or our affiliates are all eligible to participate in the 2023 Plan. However, Incentive Stock Options may only be granted to employees.</w:t>
      </w:r>
    </w:p>
    <w:p>
      <w:pPr>
        <w:spacing w:after="0" w:line="1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Administration</w:t>
      </w:r>
    </w:p>
    <w:p>
      <w:pPr>
        <w:spacing w:after="0" w:line="211" w:lineRule="exact"/>
        <w:rPr>
          <w:sz w:val="20"/>
          <w:szCs w:val="20"/>
          <w:color w:val="auto"/>
        </w:rPr>
      </w:pPr>
    </w:p>
    <w:p>
      <w:pPr>
        <w:jc w:val="both"/>
        <w:ind w:left="2" w:right="20"/>
        <w:spacing w:after="0" w:line="275" w:lineRule="auto"/>
        <w:rPr>
          <w:sz w:val="20"/>
          <w:szCs w:val="20"/>
          <w:color w:val="auto"/>
        </w:rPr>
      </w:pPr>
      <w:r>
        <w:rPr>
          <w:rFonts w:ascii="Times New Roman" w:cs="Times New Roman" w:eastAsia="Times New Roman" w:hAnsi="Times New Roman"/>
          <w:sz w:val="16"/>
          <w:szCs w:val="16"/>
          <w:color w:val="auto"/>
        </w:rPr>
        <w:t>The 2023 Plan is administered by our board of directors or a committee thereof, which committee will be constituted to satisfy applicable laws (the “Plan Administrator”). To the extent desirable to qualify transactions under the 2023 Plan as exempt under Rule 16b-3 of the Exchange Act, the transactions contemplated un the 2023 Plan will be structured to satisfy the requirements for exemption under Rule 16b-3.</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Subject to the terms of the 2023 Plan, the Plan Administrator has the authority, in its discretion, to (i) determine the fair market value in accordance with the 2023 Plan;</w:t>
      </w:r>
    </w:p>
    <w:p>
      <w:pPr>
        <w:spacing w:after="0" w:line="30" w:lineRule="exact"/>
        <w:rPr>
          <w:sz w:val="20"/>
          <w:szCs w:val="20"/>
          <w:color w:val="auto"/>
        </w:rPr>
      </w:pPr>
    </w:p>
    <w:p>
      <w:pPr>
        <w:jc w:val="both"/>
        <w:ind w:left="2" w:right="20" w:hanging="2"/>
        <w:spacing w:after="0" w:line="257" w:lineRule="auto"/>
        <w:tabs>
          <w:tab w:leader="none" w:pos="24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the service providers to whom stock awards may be granted under the 2023 Plan; (iii) determine the number of shares to be covered by each stock award granted under the 2023 Plan; (iv) approve forms of stock award agreements for use under the 2023 Plan; (v) determine the terms and conditions, not inconsistent with the terms of the 2023 Plan, of any stock award granted thereunder; (vi) institute and determine the terms and conditions of an exchange program under the terms of the 2023 Plan (subject to stockholder approval); (vii) construe and interpret the terms of the 2023 Plan and stock awards granted pursuant to the 2023 Plan; (viii) correct any defect, supply any omission or reconcile any inconsistency in the 2023 Plan, any stock award or any award agreement; (ix) prescribe, amend and rescind rules and regulations relating to the 2023 Plan; (x) modify or amend each stock award (subject to the terms of the 2023 Plan); (xi)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(xii) allow participants to satisfy tax withholding obligations in such manner as prescribed in the 2023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2023 Plan.</w:t>
      </w:r>
    </w:p>
    <w:p>
      <w:pPr>
        <w:spacing w:after="0" w:line="171"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6"/>
          <w:szCs w:val="16"/>
          <w:color w:val="auto"/>
        </w:rPr>
        <w:t>To the extent permitted by applicable law, the Plan Administrator, in its sole discretion and on such terms and conditions as it may provide, may delegate all or any part of its authority and powers under the 2023 Plan to one or more of our directors or officers. To the extent permitted by applicable laws, the Plan Administrator may delegate to one or more officers who may be (but are not required to be) insiders subject to Section 16 of the Exchange Act, the authority to do any of the following (i) designate employees who are not insiders to be recipients of stock awards, (ii) determine the number of shares to be subject to such stock awards granted to such designated employees, and (iii) take any and all actions on behalf of the Plan Administrator other than any actions that affect the amount or form of compensation of Insiders or have material tax, accounting, financial, human resource or legal consequences to us or our affiliates; provided, however, that the Plan Administrator resolutions regarding any delegation with respect to (i) and (ii) will specify the total number of shares that may be subject to the stock awards granted by such officer and that such officer may not grant a stock award to himself or herself. Any stock awards will be granted on the form of award agreement most recently approved for use by the Plan Administrator, unless otherwise provided in the resolutions approving the delegation authority.</w:t>
      </w:r>
    </w:p>
    <w:p>
      <w:pPr>
        <w:spacing w:after="0" w:line="36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2"/>
          </w:cols>
          <w:pgMar w:left="318" w:top="835" w:right="319" w:bottom="1440" w:gutter="0" w:footer="0" w:header="0"/>
        </w:sectPr>
      </w:pPr>
    </w:p>
    <w:bookmarkStart w:id="94" w:name="page95"/>
    <w:bookmarkEnd w:id="94"/>
    <w:p>
      <w:pPr>
        <w:jc w:val="both"/>
        <w:spacing w:after="0" w:line="265" w:lineRule="auto"/>
        <w:rPr>
          <w:sz w:val="20"/>
          <w:szCs w:val="20"/>
          <w:color w:val="auto"/>
        </w:rPr>
      </w:pPr>
      <w:r>
        <w:rPr>
          <w:rFonts w:ascii="Times New Roman" w:cs="Times New Roman" w:eastAsia="Times New Roman" w:hAnsi="Times New Roman"/>
          <w:sz w:val="16"/>
          <w:szCs w:val="16"/>
          <w:color w:val="auto"/>
        </w:rPr>
        <w:t>The Plan Administrator will, in its sole discretion, determine the performance goals, if any, applicable to any stock award (including any adjustment(s) thereto that will be applied in determining the achievement of such performance goals) on or prior to the Determination Date (as defined in the 2023 Plan).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w:t>
      </w:r>
      <w:r>
        <w:rPr>
          <w:rFonts w:ascii="Times New Roman" w:cs="Times New Roman" w:eastAsia="Times New Roman" w:hAnsi="Times New Roman"/>
          <w:sz w:val="16"/>
          <w:szCs w:val="16"/>
          <w:i w:val="1"/>
          <w:iCs w:val="1"/>
          <w:color w:val="auto"/>
        </w:rPr>
        <w:t>Performance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Goals</w:t>
      </w:r>
      <w:r>
        <w:rPr>
          <w:rFonts w:ascii="Times New Roman" w:cs="Times New Roman" w:eastAsia="Times New Roman" w:hAnsi="Times New Roman"/>
          <w:sz w:val="16"/>
          <w:szCs w:val="16"/>
          <w:color w:val="auto"/>
        </w:rPr>
        <w:t>” for more information.</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Stock awards granted to participants who are insiders subject to Section 16 of the Exchange Act must be approved by two or more “non-employee directors” of the Board (as defined in the regulations promulgated under Section 16 of the Exchange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Options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$0.10 million, such stock options will be treated as nonstatutory stock options. Incentive stock options may only be granted to employees.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term of each stock option will be stated in the stock award agreement. In the case of an incentive stock option, the term will be ten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At the time a stock option is granted, the Plan Administrator will fix the period within which the stock option may be exercised and will determine any conditions that must be satisfied before the stock option may be exercised. A stock option may become exercisable upon completion of a specified period of service with us or one of our affiliates and/or based on the achievement of performance goals during a performance period as set out in advance in the participant’s award agreement. If a stock option is exercisable based on the satisfaction of performance goals, then the Plan Administrator will: (x) determine the nature, length and starting date of any performance period for such stock option; (y) select the performance goals to be used to measure the performance; and (z) determine what additional vesting conditions, if any, should apply. Please refer to the discussion below under “</w:t>
      </w:r>
      <w:r>
        <w:rPr>
          <w:rFonts w:ascii="Times New Roman" w:cs="Times New Roman" w:eastAsia="Times New Roman" w:hAnsi="Times New Roman"/>
          <w:sz w:val="16"/>
          <w:szCs w:val="16"/>
          <w:i w:val="1"/>
          <w:iCs w:val="1"/>
          <w:color w:val="auto"/>
        </w:rPr>
        <w:t>—Performance Goals</w:t>
      </w:r>
      <w:r>
        <w:rPr>
          <w:rFonts w:ascii="Times New Roman" w:cs="Times New Roman" w:eastAsia="Times New Roman" w:hAnsi="Times New Roman"/>
          <w:sz w:val="16"/>
          <w:szCs w:val="16"/>
          <w:color w:val="auto"/>
        </w:rPr>
        <w:t>” for more information. The Plan Administrator will also determine the acceptable form of consideration for exercising a stock option, including the method of payment.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95" w:name="page96"/>
    <w:bookmarkEnd w:id="95"/>
    <w:p>
      <w:pPr>
        <w:jc w:val="both"/>
        <w:spacing w:after="0" w:line="264" w:lineRule="auto"/>
        <w:rPr>
          <w:sz w:val="20"/>
          <w:szCs w:val="20"/>
          <w:color w:val="auto"/>
        </w:rPr>
      </w:pPr>
      <w:r>
        <w:rPr>
          <w:rFonts w:ascii="Times New Roman" w:cs="Times New Roman" w:eastAsia="Times New Roman" w:hAnsi="Times New Roman"/>
          <w:sz w:val="16"/>
          <w:szCs w:val="16"/>
          <w:color w:val="auto"/>
        </w:rPr>
        <w:t>If a participant ceases to be a service provider other than for “Cause” (as defined in the 2023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Any outstanding stock option (including any vested portion thereof) held by a participant shall immediately terminate in its entirety upon the participant being first notified of his or her termination for Cause.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Appreciation Rights (SARs)</w:t>
      </w:r>
    </w:p>
    <w:p>
      <w:pPr>
        <w:spacing w:after="0" w:line="21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Plan Administrator will determine the terms and conditions of each SAR, provided that the exercise price for each SAR will be no less than 100% of the fair market value of the underlying shares of common stock on the date of grant. An SAR may become exercisable upon completion of a specified period of service with us or one of our affiliates and/or based on the achievement of performance goals during a performance period as set out in advance in the participant’s award agreement. If an SAR is exercisable based on the satisfaction of performance goals, then the Plan Administrator will: (x) determine the nature, length and starting date of any performance period for such SAR; (y) select the performance goals to be used to measure the performance; and (z) determine what additional vesting conditions, if any, should apply. Please refer to the discussion below under “—</w:t>
      </w:r>
      <w:r>
        <w:rPr>
          <w:rFonts w:ascii="Times New Roman" w:cs="Times New Roman" w:eastAsia="Times New Roman" w:hAnsi="Times New Roman"/>
          <w:sz w:val="16"/>
          <w:szCs w:val="16"/>
          <w:i w:val="1"/>
          <w:iCs w:val="1"/>
          <w:color w:val="auto"/>
        </w:rPr>
        <w:t>Performance Goals</w:t>
      </w:r>
      <w:r>
        <w:rPr>
          <w:rFonts w:ascii="Times New Roman" w:cs="Times New Roman" w:eastAsia="Times New Roman" w:hAnsi="Times New Roman"/>
          <w:sz w:val="16"/>
          <w:szCs w:val="16"/>
          <w:color w:val="auto"/>
        </w:rPr>
        <w:t>” for more information. Upon exercise of an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or shares of common stock, as determined by the Plan Administrator. SARs are exercisable at the times and on the terms established by the Plan Administrator.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and RSUs</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Restricted stock awards are grants of shares of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common stock. Restrictions may lapse upon the completion of a specified period of service with us or one of our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for each unvested share or RSU; (y) select the performance goals to be used to measure the performance; and (z) determine what additional vesting conditions, if any, should apply.</w:t>
      </w:r>
    </w:p>
    <w:p>
      <w:pPr>
        <w:spacing w:after="0" w:line="16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In determining whether restricted stock or RSUs should be granted, and/or the vesting schedule for such a stock award, the Plan Administrator may impose whatever conditions on vesting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w:t>
      </w:r>
      <w:r>
        <w:rPr>
          <w:rFonts w:ascii="Times New Roman" w:cs="Times New Roman" w:eastAsia="Times New Roman" w:hAnsi="Times New Roman"/>
          <w:sz w:val="16"/>
          <w:szCs w:val="16"/>
          <w:i w:val="1"/>
          <w:iCs w:val="1"/>
          <w:color w:val="auto"/>
        </w:rPr>
        <w:t>Performance Goals</w:t>
      </w:r>
      <w:r>
        <w:rPr>
          <w:rFonts w:ascii="Times New Roman" w:cs="Times New Roman" w:eastAsia="Times New Roman" w:hAnsi="Times New Roman"/>
          <w:sz w:val="16"/>
          <w:szCs w:val="16"/>
          <w:color w:val="auto"/>
        </w:rPr>
        <w:t>” for more information.</w:t>
      </w:r>
    </w:p>
    <w:p>
      <w:pPr>
        <w:spacing w:after="0" w:line="15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restricted stock with respect to which they were paid. During the period of restriction, such dividends or other distributions shall be subject to the same restrictions and risk of forfeiture as the shares of restricted stock with respect to which the dividends accrue and shall not be paid or distributed unless and until such related shares have vested and been earned.</w:t>
      </w:r>
    </w:p>
    <w:p>
      <w:pPr>
        <w:spacing w:after="0" w:line="16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96" w:name="page97"/>
    <w:bookmarkEnd w:id="96"/>
    <w:p>
      <w:pPr>
        <w:ind w:left="2"/>
        <w:spacing w:after="0"/>
        <w:rPr>
          <w:sz w:val="20"/>
          <w:szCs w:val="20"/>
          <w:color w:val="auto"/>
        </w:rPr>
      </w:pPr>
      <w:r>
        <w:rPr>
          <w:rFonts w:ascii="Times New Roman" w:cs="Times New Roman" w:eastAsia="Times New Roman" w:hAnsi="Times New Roman"/>
          <w:sz w:val="16"/>
          <w:szCs w:val="16"/>
          <w:i w:val="1"/>
          <w:iCs w:val="1"/>
          <w:color w:val="auto"/>
        </w:rPr>
        <w:t>Stock Bonus Awards</w:t>
      </w:r>
    </w:p>
    <w:p>
      <w:pPr>
        <w:spacing w:after="0" w:line="211"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A stock bonus award is an award of shares to an eligible person without a purchase price that is not subject to any restrictions. All stock bonus awards may but are not required to be made pursuant to an award agreement. The Plan Administrator will determine the number of shares to be awarded to the participant under a stock bonus award. Payment may be made in the form of cash, whole shares, or a combination thereof, based on the fair market value of the shares subject to the stock bonus award on the date of payment, as determined in the sole discretion of the Administrator.</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Performance Goals</w:t>
      </w:r>
    </w:p>
    <w:p>
      <w:pPr>
        <w:spacing w:after="0" w:line="211"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6"/>
          <w:szCs w:val="16"/>
          <w:color w:val="auto"/>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 (20) 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w:t>
      </w:r>
    </w:p>
    <w:p>
      <w:pPr>
        <w:spacing w:after="0" w:line="1" w:lineRule="exact"/>
        <w:rPr>
          <w:sz w:val="20"/>
          <w:szCs w:val="20"/>
          <w:color w:val="auto"/>
        </w:rPr>
      </w:pPr>
    </w:p>
    <w:p>
      <w:pPr>
        <w:ind w:left="2" w:hanging="2"/>
        <w:spacing w:after="0" w:line="272" w:lineRule="auto"/>
        <w:tabs>
          <w:tab w:leader="none" w:pos="34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objective goals relating to projects; and (27) enterprise resource planning. Stock awards issued to participants may take into account other criteria (including subjective criteria).</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Outside Director Limitations</w:t>
      </w:r>
    </w:p>
    <w:p>
      <w:pPr>
        <w:spacing w:after="0" w:line="211" w:lineRule="exact"/>
        <w:rPr>
          <w:sz w:val="20"/>
          <w:szCs w:val="20"/>
          <w:color w:val="auto"/>
        </w:rPr>
      </w:pPr>
    </w:p>
    <w:p>
      <w:pPr>
        <w:jc w:val="both"/>
        <w:ind w:left="2"/>
        <w:spacing w:after="0" w:line="265" w:lineRule="auto"/>
        <w:rPr>
          <w:sz w:val="20"/>
          <w:szCs w:val="20"/>
          <w:color w:val="auto"/>
        </w:rPr>
      </w:pPr>
      <w:r>
        <w:rPr>
          <w:rFonts w:ascii="Times New Roman" w:cs="Times New Roman" w:eastAsia="Times New Roman" w:hAnsi="Times New Roman"/>
          <w:sz w:val="16"/>
          <w:szCs w:val="16"/>
          <w:color w:val="auto"/>
        </w:rPr>
        <w:t>Stock awards granted during a single fiscal year under the 2023 Plan or otherwise, taken together with any cash fees paid during such fiscal year for services on the board of directors, shall not exceed $0.50 million in total value for any non-employee director (“Outside Director”) (calculating the value of any such stock awards, in each case, based on the grant date fair value of such stock awards for financial reporting purposes). Such applicable limit shall include the value of any stock awards that are received in lieu of all or a portion of any annual committee cash retainers or other similar cash based payments. Stock awards granted to an individual while he or she was serving in the capacity as an employee or while he or she was an independent contractor but not an Outside Director will not count for purposes of these limitations.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Leaves of Absence / Transfer Between Locations</w:t>
      </w:r>
    </w:p>
    <w:p>
      <w:pPr>
        <w:spacing w:after="0" w:line="211"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w:t>
      </w:r>
    </w:p>
    <w:p>
      <w:pPr>
        <w:spacing w:after="0" w:line="2" w:lineRule="exact"/>
        <w:rPr>
          <w:sz w:val="20"/>
          <w:szCs w:val="20"/>
          <w:color w:val="auto"/>
        </w:rPr>
      </w:pPr>
    </w:p>
    <w:p>
      <w:pPr>
        <w:jc w:val="both"/>
        <w:ind w:left="2" w:hanging="2"/>
        <w:spacing w:after="0" w:line="261" w:lineRule="auto"/>
        <w:tabs>
          <w:tab w:leader="none" w:pos="24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between our locations or between us and any subsidiary.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i w:val="1"/>
          <w:iCs w:val="1"/>
          <w:color w:val="auto"/>
        </w:rPr>
        <w:t>Change in Time Commitment</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event a participant’s regular level of time commitment in the performance of his or her services for us or one of our affiliates is reduced (for example, and without limitation, if the participant is an employee and the employee has a change in status from full-time to part-time or takes an extended leave of absence) after the date of grant of any stock award, the Plan Administrator, in its sole discretion, may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schedule applicable to such stock award (in accordance with Section 409A, as applicable). In the event of any such reduction, the participant will have no right with respect to any portion of the stock award that is so amended.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Nontransferability of Stock Awards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Recoupment Policy</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Plan, a stock award granted under the 2023 Plan shall be subject to the Company’s clawback policy as may be established and/or amended from time to time, including the Compensation Recovery Policy.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 For the avoidance of doubt, each participant will be subject to compliance with applicable laws, the Company’s Code of Ethics and Business Conduct, and the Company’s corporate policies, as applicable, including without limitation the Company’s Compensation Recovery Policy. Notwithstanding anything to the contrary herein, (i) compliance with applicable law, the Company’s Code of Ethics and Business Conduct, and the Company’s corporate policies, as applicable, will be a pre-condition to earning, or vesting in respect of, any award under the 2023 Plan and (ii) any awards under the 2023 Plan which are subject to the Company’s Compensation Recovery Policy will not be earned or vested, even if already granted, paid or settled, until the Company’s Compensation Recovery Policy ceases to apply to such awards and any other vesting conditions applicable to such awards are satisfied.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Adjustment</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event of a stock split, reverse stock split, stock dividend, combination, consolidation, recapitalization or reclassification of the shares, subdivision of the shares, a rights offering, a reorganization, merger, spin-off, split-up, repurchase, or exchange of common stock or other securities of us or other significant corporate transaction, or other change affecting common stock occurs, the Plan Administrator, in order to prevent dilution, diminution or enlargement of the benefits or potential benefits intended to be made available under the 2023 Plan, will, in such manner as it may deem equitable, adjust the number, kind and class of securities that may be delivered under the 2023 Plan and/or the number, class, kind and price of securities covered by each outstanding stock award; provided that all such adjustment will be made in a manner that does not result in taxation under Section 409A.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i w:val="1"/>
          <w:iCs w:val="1"/>
          <w:color w:val="auto"/>
        </w:rPr>
        <w:t>Corporate Transaction</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2023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(e) the opportunity for participants to exercise the stock options prior to the occurrence of the corporate transaction and the termination (for no consideration) upon the consummation of such corporate transaction of any stock options not exercised prior thereto; or (f) the cancellation of outstanding stock awards in exchange for no consideration.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Control</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 stock award may be subject to additional acceleration of vesting and exercisability upon or after a “Change in Control” (as defined in the 2023 Plan) as may be provided in the award agreement for such stock award or as may be provided in any other written agreement between us or any affiliate and the participant, but in the absence of such provision, no such acceleration will occur.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Termination and Duration of the 2023 Plan</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2023 Plan will continue in effect for a term of 10 years measured from the date the 2023 Plan was approved by the Board, unless terminated earlier under the terms of the 2023 Plan. The Plan Administrator may at any time amend, alter, suspend or terminate the 2023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Federal Tax Aspects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price—the appreciation value—on the date of exercise. Any additional gain or loss recognized upon any later disposition of the shares generally will be long-term or short-term capital gain or loss, depending on whether the shares are held for more than one year.</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99" w:name="page100"/>
    <w:bookmarkEnd w:id="99"/>
    <w:p>
      <w:pPr>
        <w:jc w:val="both"/>
        <w:spacing w:after="0" w:line="265" w:lineRule="auto"/>
        <w:rPr>
          <w:sz w:val="20"/>
          <w:szCs w:val="20"/>
          <w:color w:val="auto"/>
        </w:rPr>
      </w:pPr>
      <w:r>
        <w:rPr>
          <w:rFonts w:ascii="Times New Roman" w:cs="Times New Roman" w:eastAsia="Times New Roman" w:hAnsi="Times New Roman"/>
          <w:sz w:val="16"/>
          <w:szCs w:val="16"/>
          <w:color w:val="auto"/>
        </w:rPr>
        <w:t>A participant who receives restricted stock will not have taxable income until vesting unless the participant timely files an election under Section 83(b) of the Code to be taxed at the time of grant (“Section 83(b) election”).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spacing w:after="0" w:line="16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imposes certain restrictions on deferred compensation arrangements. Stock awards that are treated as deferred compensation under Section 409A are intended to meet the requirements of this section of the Code.</w:t>
      </w:r>
    </w:p>
    <w:p>
      <w:pPr>
        <w:spacing w:after="0" w:line="15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us withhold otherwise deliverable cash or shares, or delivering to us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we deem to be reasonable and in accordance with applicable laws.</w:t>
      </w:r>
    </w:p>
    <w:p>
      <w:pPr>
        <w:spacing w:after="0" w:line="36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We will be entitled to a tax deduction in connection with a stock award under the 2023 Plan only in an amount equal to the ordinary income realized by the participant and at the time the participant recognizes the income. Section 162(m) of the Code places a limit of $1 million on the amount of compensation that we may deduct as a business expense in any year with respect to certain of our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Plan Benefits</w:t>
      </w:r>
    </w:p>
    <w:p>
      <w:pPr>
        <w:spacing w:after="0" w:line="21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2023 Plan does not provide for set benefits or amounts of awards and we have not approved any stock awards that are conditioned on stockholder approval of the 2023 Plan. We have not approved any stock awards under the 2023 Plan in connection with the Merger. All future awards to directors, executive officers, employees and consultants under the 2023 Plan are discretionary and cannot be determined at this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Non-Employee Director Compensation</w:t>
      </w:r>
    </w:p>
    <w:p>
      <w:pPr>
        <w:spacing w:after="0" w:line="21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Since our incorporation, no compensation has been earned or paid to Ian Jacobs or Mark Tompkins, who were our sole directors prior to the Merger. Serve became our wholly-owned subsidiary upon the closing of the Merger on July 31, 2023. In connection with the closing of the Merger, Messrs. Jacobs and Tompkins resigned from our board directors, and the current members were appointed to our board of directors, effective July 31, 2023.</w:t>
      </w:r>
    </w:p>
    <w:p>
      <w:pPr>
        <w:spacing w:after="0" w:line="15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Currently, we do not have a policy or program for the compensation of our non-employee directors. Our board of directors intends to adopt an outside director compensation policy, which will set forth the terms upon which non-employee directors will be compensated for their service on our board of directors consistent with market-standard practices.</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Below, we describe transactions since January 1, 2021,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Serve’s pre-Merger capital stock. Other than as described below, there have not been transactions to which we have been a party other than compensation arrangements, which are described under “</w:t>
      </w:r>
      <w:r>
        <w:rPr>
          <w:rFonts w:ascii="Times New Roman" w:cs="Times New Roman" w:eastAsia="Times New Roman" w:hAnsi="Times New Roman"/>
          <w:sz w:val="16"/>
          <w:szCs w:val="16"/>
          <w:i w:val="1"/>
          <w:iCs w:val="1"/>
          <w:color w:val="auto"/>
        </w:rPr>
        <w:t>Executive Compensation</w:t>
      </w:r>
      <w:r>
        <w:rPr>
          <w:rFonts w:ascii="Times New Roman" w:cs="Times New Roman" w:eastAsia="Times New Roman" w:hAnsi="Times New Roman"/>
          <w:sz w:val="16"/>
          <w:szCs w:val="16"/>
          <w:color w:val="auto"/>
        </w:rPr>
        <w:t>.” The following description is historical and has not been adjusted to give effect to the Merger.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Subordinated Promissory Note with Ali Kashani</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December 27, 2023, Serve issued a Secured Subordinated Promissory Note (the “December 2023 Kashani Note”) to Ali Kashani, a holder of greater than 5% of the capital stock of Serve who serves as Chief Executive Officer and is a member of the Serve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June 28, 2023, Serve issued a Secured Subordinated Promissory Note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(the “Kashani Exit Fee”).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 with Uber Technologies Inc.</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As described elsewhere in this prospectus, Serve is a spin-off of Uber. Serve was initially formed in 2017 as the X division of Postmates, which was acquired by Uber in 2020. Uber held greater than 5% of Serve’s pre-Merger capital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Convertible Promissory Note</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January 2, 2024, we issued a convertible promissory note (the “Postmates Convertible Promissory Note”) to Postmates. The Postmates Convertible Promissory Note bears interest at a rate of 6.00% per year, compounded annually, and is due and payable upon request by Postmates on or after the 12-month anniversary of the original issuance date of the Postmates Convertible Promissory Note. We may not prepay or repay the Postmates Convertible Promissory Note in cash without Postmates’ consent. The aggregate gross proceeds from the issuance of the Postmates Convertible Promissory Note was $500,000.</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issuance of the Postmates Convertible Promissory Note was exempt from registration under Section 4(a)(2) of the Securities Act and Rule 506 of Regulation D promulgated by the SEC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Master Framework Agreement and Project Plan</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Uber and the Company entered into the Master Framework Agreement, effective September 3, 2021 which was amended by Amendment No. 1 to the Master Framework Agreement, dated June 7, 2022, Amendment No. 2 to the Master Framework Agreement, dated January 12, 2023, and Amendment No. 3 to the Master Framework Agreement, dated September 6, 2023 (as amended, the “Master Framework Agreement”). The term of the Master Framework Agreement has been extended twice and is currently effective until February 24, 2027 and automatically renews for one-year periods unless terminated. Pursuant to the Master Framework Agreement, the Company agreed to provide delivery robots for Uber deliveries and Uber to pay delivery fees based on the services provided by the delivery robots. In addition, among other things, under the Master Framework Agreement, the Company is obligated to obtain and maintain the necessary regulatory approvals and licenses and certain types and levels of insurance for the robots.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01" w:name="page102"/>
    <w:bookmarkEnd w:id="101"/>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and Uber entered into separate Project Plans on February 3, 2022 (“Project Plan #1”) and May 26, 2022 (“Project Plan #2” and together with Project Plan #1, the “Project Plans”) for deployment of the Company’s robots to perform concurrent deliveries on Uber’s platform. Under Project Plan #1, Uber and the Company worked together to onboard 10 robots to perform concurrent deliveries on Uber’s platform in a mutually agreed upon operating area in Los Angeles, California. Entering into Project Plan #2 signified satisfactory completion of Project Plan #1. Under Project Plan #2, Uber and the Company are working together to deploy up to 2,000 robots on Uber’s platform in multiple cities in the U.S. Each of these Project Plans is governed by the terms of the Master Framework Agreement. Pursuant to the Project Plans, the Company and Uber have agreed to meet monthly to discuss completion dates and key milestones for the Master Framework Agreement and to establish operating areas.</w:t>
      </w:r>
    </w:p>
    <w:p>
      <w:pPr>
        <w:spacing w:after="0" w:line="3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Master Framework Agreement provides for certain negotiated indemnification terms, including indemnification by the Company for damages resulting from third-party intellectual property rights claims. The Project Plans require the Company to maintain commercial insurance during the term of the Project Plans, including for general liability, auto liability and workers’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Contribution and License Agreement</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February 24, 2021, the Company entered into a Contribution and License Agreement (the “Contribution Agreement”) with Postmates LLC, a wholly-owned subsidiary of Uber. Pursuant to the Contribution Agreement, Postmates contributed assets and liabilities of Serve and Serve assumed those assets and liabilities and Postmates retained licenses for certain IP.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Wavemaker – Side Letter</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December 5, 2022, the Company and Wavemaker Pacific 4, L.P. entered into a SAFE along with a side letter to the SAFE dated as of December 15, 2022 (the “Wavemaker Side Letter”). Wavemaker Pacific 4, L.P. holds greater than 5% of Serve’s pre-Merger capital stock. Pursuant to the Wavemaker Side Letter, Wavemaker Pacific 4, L.P. is granted preemptive rights to purchase preferred stock sold in an equity financing, among other rights.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NEO 2.0 LP – Side Letter</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December 1, 2022, the Company, NEO 2.0, L.P. (“NEO 2.0”) and NEO 2.0a, L.P. (“NEO 2.0a,” and together with NEO 2.0, the “NEO Entities”) entered into a SAFE along with a side letter dated as of December 5, 2022 (the “NEO Entities Side Letter”). The NEO Entities own greater than 5% of Serve’s pre-Merger capital stock. Pursuant to the NEO Entities Side Letter, the NEO entities are granted preemptive rights to purchase preferred stock sold in an equity financing, among other rights.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 with NVIDIA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Convertible Promissory Note</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January 2, 2024, we issued a convertible promissory note (“the NVIDIA Convertible Promissory Note”) to NVIDIA. The NVIDIA Convertible Promissory Note bears interest at a rate of 6.00% per year, compounded annually, and are due and payable upon request by NVIDIA on or after the 12-month anniversary of the original issuance date of the NVIDIA Convertible Promissory Note. We may not prepay or repay the NVIDIA Convertible Promissory Note in cash without NVIDIA’s consent. The aggregate gross proceeds from the issuance of the NVIDIA Convertible Promissory Note was $2,500,000.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Business Collaboration Agreement</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On February 2, 2022, the Company and NVIDIA entered into a business collaboration agreement (the “Business Collaboration Agreement”) pursuant to which the Company and NVIDIA agreed to collaborate on the potential integration of NVIDIA’s AI capabilities into the Company’s robots, among other things.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02" w:name="page103"/>
    <w:bookmarkEnd w:id="102"/>
    <w:p>
      <w:pPr>
        <w:ind w:left="2"/>
        <w:spacing w:after="0"/>
        <w:rPr>
          <w:sz w:val="20"/>
          <w:szCs w:val="20"/>
          <w:color w:val="auto"/>
        </w:rPr>
      </w:pPr>
      <w:r>
        <w:rPr>
          <w:rFonts w:ascii="Times New Roman" w:cs="Times New Roman" w:eastAsia="Times New Roman" w:hAnsi="Times New Roman"/>
          <w:sz w:val="16"/>
          <w:szCs w:val="16"/>
          <w:i w:val="1"/>
          <w:iCs w:val="1"/>
          <w:color w:val="auto"/>
        </w:rPr>
        <w:t>NVIDIA Side Letter</w:t>
      </w:r>
    </w:p>
    <w:p>
      <w:pPr>
        <w:spacing w:after="0" w:line="211"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On October 4, 2021, the Company and NVIDIA entered into a Series Seed Preferred Stock Purchase Agreement (the “Preferred Stock Purchase Agreement”) and a SAFE. Pursuant to the Preferred Stock Purchase Agreement NVIDIA agreed to purchase 257,639 shares of Series Seed Preferred Stock from the Company. The SAFE was of a stated purchase amount of $9,000,000. On February 4, 2022, the Company and NVIDIA entered into a side letter (the “NVIDIA Side Letter”) pursuant to which the Company granted NVIDIA contractual management rights including inspection rights and a right of first refusal, among other things.</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2021 SAFEs</w:t>
      </w:r>
    </w:p>
    <w:p>
      <w:pPr>
        <w:spacing w:after="0" w:line="211"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16"/>
          <w:szCs w:val="16"/>
          <w:color w:val="auto"/>
        </w:rPr>
        <w:t>In a series of transactions closing between January 29, 2021 and March 16, 2021, Serve issued SAFEs for an aggregate purchase amount of $6,750,000 to investors of Serve (the “2021 SAFEs”). The 2021 SAFEs were converted into shares of Series Seed-2 Preferred Stock on October 4, 2021. The following table summarizes the purchase of 2021 SAFEs by related persons:</w:t>
      </w:r>
    </w:p>
    <w:p>
      <w:pPr>
        <w:spacing w:after="0" w:line="149"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196"/>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196"/>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Price for</w:t>
            </w:r>
          </w:p>
        </w:tc>
      </w:tr>
      <w:tr>
        <w:trPr>
          <w:trHeight w:val="221"/>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Purchaser</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2021 SAFEs</w:t>
            </w:r>
          </w:p>
        </w:tc>
        <w:tc>
          <w:tcPr>
            <w:tcW w:w="100" w:type="dxa"/>
            <w:vAlign w:val="bottom"/>
            <w:tcBorders>
              <w:bottom w:val="single" w:sz="8" w:color="CCEEFF"/>
            </w:tcBorders>
          </w:tcPr>
          <w:p>
            <w:pPr>
              <w:spacing w:after="0"/>
              <w:rPr>
                <w:sz w:val="19"/>
                <w:szCs w:val="19"/>
                <w:color w:val="auto"/>
              </w:rPr>
            </w:pPr>
          </w:p>
        </w:tc>
      </w:tr>
      <w:tr>
        <w:trPr>
          <w:trHeight w:val="233"/>
        </w:trPr>
        <w:tc>
          <w:tcPr>
            <w:tcW w:w="99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Ali Kashani</w:t>
            </w:r>
            <w:r>
              <w:rPr>
                <w:rFonts w:ascii="Times New Roman" w:cs="Times New Roman" w:eastAsia="Times New Roman" w:hAnsi="Times New Roman"/>
                <w:sz w:val="27"/>
                <w:szCs w:val="27"/>
                <w:color w:val="auto"/>
                <w:vertAlign w:val="superscript"/>
              </w:rPr>
              <w:t>(1)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20"/>
                <w:szCs w:val="20"/>
                <w:color w:val="auto"/>
              </w:rPr>
            </w:pPr>
          </w:p>
        </w:tc>
      </w:tr>
      <w:tr>
        <w:trPr>
          <w:trHeight w:val="233"/>
        </w:trPr>
        <w:tc>
          <w:tcPr>
            <w:tcW w:w="990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Future VC, LLC</w:t>
            </w:r>
            <w:r>
              <w:rPr>
                <w:rFonts w:ascii="Times New Roman" w:cs="Times New Roman" w:eastAsia="Times New Roman" w:hAnsi="Times New Roman"/>
                <w:sz w:val="27"/>
                <w:szCs w:val="27"/>
                <w:color w:val="auto"/>
                <w:vertAlign w:val="superscript"/>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25,000</w:t>
            </w:r>
          </w:p>
        </w:tc>
      </w:tr>
      <w:tr>
        <w:trPr>
          <w:trHeight w:val="233"/>
        </w:trPr>
        <w:tc>
          <w:tcPr>
            <w:tcW w:w="99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NEO 2.0, L.P.</w:t>
            </w:r>
            <w:r>
              <w:rPr>
                <w:rFonts w:ascii="Times New Roman" w:cs="Times New Roman" w:eastAsia="Times New Roman" w:hAnsi="Times New Roman"/>
                <w:sz w:val="27"/>
                <w:szCs w:val="27"/>
                <w:color w:val="auto"/>
                <w:vertAlign w:val="superscript"/>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00" w:type="dxa"/>
            <w:vAlign w:val="bottom"/>
            <w:shd w:val="clear" w:color="auto" w:fill="CCEEFF"/>
          </w:tcPr>
          <w:p>
            <w:pPr>
              <w:spacing w:after="0"/>
              <w:rPr>
                <w:sz w:val="20"/>
                <w:szCs w:val="20"/>
                <w:color w:val="auto"/>
              </w:rPr>
            </w:pPr>
          </w:p>
        </w:tc>
      </w:tr>
      <w:tr>
        <w:trPr>
          <w:trHeight w:val="233"/>
        </w:trPr>
        <w:tc>
          <w:tcPr>
            <w:tcW w:w="990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Olivier Vincent</w:t>
            </w:r>
            <w:r>
              <w:rPr>
                <w:rFonts w:ascii="Times New Roman" w:cs="Times New Roman" w:eastAsia="Times New Roman" w:hAnsi="Times New Roman"/>
                <w:sz w:val="27"/>
                <w:szCs w:val="27"/>
                <w:color w:val="auto"/>
                <w:vertAlign w:val="superscript"/>
              </w:rPr>
              <w:t>(4)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r>
      <w:tr>
        <w:trPr>
          <w:trHeight w:val="233"/>
        </w:trPr>
        <w:tc>
          <w:tcPr>
            <w:tcW w:w="99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Pourdad Capital Corp.</w:t>
            </w:r>
            <w:r>
              <w:rPr>
                <w:rFonts w:ascii="Times New Roman" w:cs="Times New Roman" w:eastAsia="Times New Roman" w:hAnsi="Times New Roman"/>
                <w:sz w:val="27"/>
                <w:szCs w:val="27"/>
                <w:color w:val="auto"/>
                <w:vertAlign w:val="superscript"/>
              </w:rPr>
              <w:t>(5)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r>
      <w:tr>
        <w:trPr>
          <w:trHeight w:val="358"/>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Postmates, LLC</w:t>
            </w:r>
            <w:r>
              <w:rPr>
                <w:rFonts w:ascii="Times New Roman" w:cs="Times New Roman" w:eastAsia="Times New Roman" w:hAnsi="Times New Roman"/>
                <w:sz w:val="27"/>
                <w:szCs w:val="27"/>
                <w:color w:val="auto"/>
                <w:vertAlign w:val="superscript"/>
              </w:rPr>
              <w:t>(6)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24"/>
                <w:szCs w:val="24"/>
                <w:color w:val="auto"/>
              </w:rPr>
            </w:pPr>
          </w:p>
        </w:tc>
      </w:tr>
    </w:tbl>
    <w:p>
      <w:pPr>
        <w:spacing w:after="0" w:line="55" w:lineRule="exact"/>
        <w:rPr>
          <w:sz w:val="20"/>
          <w:szCs w:val="20"/>
          <w:color w:val="auto"/>
        </w:rPr>
      </w:pPr>
    </w:p>
    <w:p>
      <w:pPr>
        <w:ind w:left="302" w:hanging="302"/>
        <w:spacing w:after="0"/>
        <w:tabs>
          <w:tab w:leader="none" w:pos="30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 Kashani holds greater than 5% of the pre-Merger capital stock of Serve, serves as Chief Executive Officer and is a member of the Serve Board of Directors.</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James Buckly Jordan is the manager of Future VC, LLC and serves as a member of the Serve Board of Directors.</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partner of NEO 2.0., L.P. is NEO GP 2.0, LLC (“NEO GP”). NEO GP and its affiliates hold greater than 5% of the pre-Merger capital stock of Serve.</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Olivier Vincent serves as a member of the Serve Board of Directors.</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Pourdad Capital Corp is controlled by Ali Pourdad, who is a member of the Serve Board of Directors.</w:t>
      </w:r>
    </w:p>
    <w:p>
      <w:pPr>
        <w:spacing w:after="0" w:line="208"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Postmates, LLC is a wholly-owned subsidiary of Uber, which holds greater than 5% of the pre-Merger capital stock of Serve. Sarfraz Maredia is VP, Head of Americas, Delivery at Uber and serves as a member of the Serve Board of Directors.</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3" w:right="339" w:bottom="1440" w:gutter="0" w:footer="0" w:header="0"/>
        </w:sectPr>
      </w:pPr>
    </w:p>
    <w:bookmarkStart w:id="103" w:name="page104"/>
    <w:bookmarkEnd w:id="103"/>
    <w:p>
      <w:pPr>
        <w:ind w:left="2"/>
        <w:spacing w:after="0"/>
        <w:rPr>
          <w:sz w:val="20"/>
          <w:szCs w:val="20"/>
          <w:color w:val="auto"/>
        </w:rPr>
      </w:pPr>
      <w:r>
        <w:rPr>
          <w:rFonts w:ascii="Times New Roman" w:cs="Times New Roman" w:eastAsia="Times New Roman" w:hAnsi="Times New Roman"/>
          <w:sz w:val="16"/>
          <w:szCs w:val="16"/>
          <w:i w:val="1"/>
          <w:iCs w:val="1"/>
          <w:color w:val="auto"/>
        </w:rPr>
        <w:t>October and November 2021 Seed Round</w:t>
      </w:r>
    </w:p>
    <w:p>
      <w:pPr>
        <w:spacing w:after="0" w:line="211" w:lineRule="exact"/>
        <w:rPr>
          <w:sz w:val="20"/>
          <w:szCs w:val="20"/>
          <w:color w:val="auto"/>
        </w:rPr>
      </w:pPr>
    </w:p>
    <w:p>
      <w:pPr>
        <w:jc w:val="both"/>
        <w:ind w:left="2"/>
        <w:spacing w:after="0" w:line="265" w:lineRule="auto"/>
        <w:rPr>
          <w:sz w:val="20"/>
          <w:szCs w:val="20"/>
          <w:color w:val="auto"/>
        </w:rPr>
      </w:pPr>
      <w:r>
        <w:rPr>
          <w:rFonts w:ascii="Times New Roman" w:cs="Times New Roman" w:eastAsia="Times New Roman" w:hAnsi="Times New Roman"/>
          <w:sz w:val="16"/>
          <w:szCs w:val="16"/>
          <w:color w:val="auto"/>
        </w:rPr>
        <w:t>On October 4, 2021, Serve entered into the Series Seed Preferred Stock Purchase Agreement, pursuant to which it issued 3,091,672 shares of Series Seed Preferred Stock. Pursuant to the Preferred Stock Purchase Agreement, the Company issued 2,440,411 shares of Series Seed-1 Preferred Stock, 2,088,696 shares of Series Seed-2 Preferred Stock and 357,836 shares of Series Seed-3 Preferred Stock as a result of SAFE conversions. In addition to the issuance of shares, the 2021 SAFEs were converted to Series Seed-2 Preferred Stock and Series Seed-1 Preferred Stock. The following table summarizes the purchase of Series Seed Preferred Stock and the conversion of the 2021 SAFEs by related persons:</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Series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w:t>
            </w:r>
          </w:p>
        </w:tc>
      </w:tr>
      <w:tr>
        <w:trPr>
          <w:trHeight w:val="196"/>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Seed-1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Seed-2</w:t>
            </w:r>
          </w:p>
        </w:tc>
      </w:tr>
      <w:tr>
        <w:trPr>
          <w:trHeight w:val="196"/>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Seed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r>
      <w:tr>
        <w:trPr>
          <w:trHeight w:val="196"/>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196"/>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Issued for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Issued for</w:t>
            </w:r>
          </w:p>
        </w:tc>
      </w:tr>
      <w:tr>
        <w:trPr>
          <w:trHeight w:val="2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Purchaser</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2021 SAFEs</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2021 SAFEs</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2021 SAFEs</w:t>
            </w:r>
          </w:p>
        </w:tc>
        <w:tc>
          <w:tcPr>
            <w:tcW w:w="100" w:type="dxa"/>
            <w:vAlign w:val="bottom"/>
            <w:tcBorders>
              <w:bottom w:val="single" w:sz="8" w:color="CCEEFF"/>
            </w:tcBorders>
          </w:tcPr>
          <w:p>
            <w:pPr>
              <w:spacing w:after="0"/>
              <w:rPr>
                <w:sz w:val="19"/>
                <w:szCs w:val="19"/>
                <w:color w:val="auto"/>
              </w:rPr>
            </w:pPr>
          </w:p>
        </w:tc>
      </w:tr>
      <w:tr>
        <w:trPr>
          <w:trHeight w:val="233"/>
        </w:trPr>
        <w:tc>
          <w:tcPr>
            <w:tcW w:w="45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Ali Kashani</w:t>
            </w:r>
            <w:r>
              <w:rPr>
                <w:rFonts w:ascii="Times New Roman" w:cs="Times New Roman" w:eastAsia="Times New Roman" w:hAnsi="Times New Roman"/>
                <w:sz w:val="27"/>
                <w:szCs w:val="27"/>
                <w:color w:val="auto"/>
                <w:vertAlign w:val="superscript"/>
              </w:rPr>
              <w:t>(1)</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shd w:val="clear" w:color="auto" w:fill="CCEEFF"/>
          </w:tcPr>
          <w:p>
            <w:pPr>
              <w:spacing w:after="0"/>
              <w:rPr>
                <w:sz w:val="20"/>
                <w:szCs w:val="20"/>
                <w:color w:val="auto"/>
              </w:rPr>
            </w:pPr>
          </w:p>
        </w:tc>
      </w:tr>
      <w:tr>
        <w:trPr>
          <w:trHeight w:val="233"/>
        </w:trPr>
        <w:tc>
          <w:tcPr>
            <w:tcW w:w="462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NEO 2.0, L.P.</w:t>
            </w:r>
            <w:r>
              <w:rPr>
                <w:rFonts w:ascii="Times New Roman" w:cs="Times New Roman" w:eastAsia="Times New Roman" w:hAnsi="Times New Roman"/>
                <w:sz w:val="27"/>
                <w:szCs w:val="27"/>
                <w:color w:val="auto"/>
                <w:vertAlign w:val="superscript"/>
              </w:rPr>
              <w:t>(2)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193,355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750,487.09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2,468,706.24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908,619</w:t>
            </w:r>
          </w:p>
        </w:tc>
        <w:tc>
          <w:tcPr>
            <w:tcW w:w="100" w:type="dxa"/>
            <w:vAlign w:val="bottom"/>
          </w:tcPr>
          <w:p>
            <w:pPr>
              <w:spacing w:after="0"/>
              <w:rPr>
                <w:sz w:val="20"/>
                <w:szCs w:val="20"/>
                <w:color w:val="auto"/>
              </w:rPr>
            </w:pPr>
          </w:p>
        </w:tc>
      </w:tr>
      <w:tr>
        <w:trPr>
          <w:trHeight w:val="233"/>
        </w:trPr>
        <w:tc>
          <w:tcPr>
            <w:tcW w:w="462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NEO 2.0a, L.P.</w:t>
            </w:r>
            <w:r>
              <w:rPr>
                <w:rFonts w:ascii="Times New Roman" w:cs="Times New Roman" w:eastAsia="Times New Roman" w:hAnsi="Times New Roman"/>
                <w:sz w:val="27"/>
                <w:szCs w:val="27"/>
                <w:color w:val="auto"/>
                <w:vertAlign w:val="superscript"/>
              </w:rPr>
              <w:t>(2)</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2,451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9,512.04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31,292.56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w:t>
            </w:r>
          </w:p>
        </w:tc>
        <w:tc>
          <w:tcPr>
            <w:tcW w:w="100" w:type="dxa"/>
            <w:vAlign w:val="bottom"/>
            <w:shd w:val="clear" w:color="auto" w:fill="CCEEFF"/>
          </w:tcPr>
          <w:p>
            <w:pPr>
              <w:spacing w:after="0"/>
              <w:rPr>
                <w:sz w:val="20"/>
                <w:szCs w:val="20"/>
                <w:color w:val="auto"/>
              </w:rPr>
            </w:pPr>
          </w:p>
        </w:tc>
      </w:tr>
      <w:tr>
        <w:trPr>
          <w:trHeight w:val="233"/>
        </w:trPr>
        <w:tc>
          <w:tcPr>
            <w:tcW w:w="462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Olivier Vincent</w:t>
            </w:r>
            <w:r>
              <w:rPr>
                <w:rFonts w:ascii="Times New Roman" w:cs="Times New Roman" w:eastAsia="Times New Roman" w:hAnsi="Times New Roman"/>
                <w:sz w:val="27"/>
                <w:szCs w:val="27"/>
                <w:color w:val="auto"/>
                <w:vertAlign w:val="superscript"/>
              </w:rPr>
              <w:t>(3)</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20"/>
                <w:szCs w:val="20"/>
                <w:color w:val="auto"/>
              </w:rPr>
            </w:pPr>
          </w:p>
        </w:tc>
      </w:tr>
      <w:tr>
        <w:trPr>
          <w:trHeight w:val="233"/>
        </w:trPr>
        <w:tc>
          <w:tcPr>
            <w:tcW w:w="462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Postmates, LLC</w:t>
            </w:r>
            <w:r>
              <w:rPr>
                <w:rFonts w:ascii="Times New Roman" w:cs="Times New Roman" w:eastAsia="Times New Roman" w:hAnsi="Times New Roman"/>
                <w:sz w:val="27"/>
                <w:szCs w:val="27"/>
                <w:color w:val="auto"/>
                <w:vertAlign w:val="superscript"/>
              </w:rPr>
              <w:t>(4)</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128,819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499,999.35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2,440,411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2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Pourdad Capital Corp.</w:t>
            </w:r>
            <w:r>
              <w:rPr>
                <w:rFonts w:ascii="Times New Roman" w:cs="Times New Roman" w:eastAsia="Times New Roman" w:hAnsi="Times New Roman"/>
                <w:sz w:val="27"/>
                <w:szCs w:val="27"/>
                <w:color w:val="auto"/>
                <w:vertAlign w:val="superscript"/>
              </w:rPr>
              <w:t>(5)</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12,882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49,999.00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18,403</w:t>
            </w:r>
          </w:p>
        </w:tc>
      </w:tr>
      <w:tr>
        <w:trPr>
          <w:trHeight w:val="233"/>
        </w:trPr>
        <w:tc>
          <w:tcPr>
            <w:tcW w:w="462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Wavemaker Pacific 4, L.P.</w:t>
            </w:r>
            <w:r>
              <w:rPr>
                <w:rFonts w:ascii="Times New Roman" w:cs="Times New Roman" w:eastAsia="Times New Roman" w:hAnsi="Times New Roman"/>
                <w:sz w:val="27"/>
                <w:szCs w:val="27"/>
                <w:color w:val="auto"/>
                <w:vertAlign w:val="superscript"/>
              </w:rPr>
              <w:t>(6)</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772,918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2,999,999.16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2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Wavemaker Global Select II, LLC</w:t>
            </w:r>
            <w:r>
              <w:rPr>
                <w:rFonts w:ascii="Times New Roman" w:cs="Times New Roman" w:eastAsia="Times New Roman" w:hAnsi="Times New Roman"/>
                <w:sz w:val="27"/>
                <w:szCs w:val="27"/>
                <w:color w:val="auto"/>
                <w:vertAlign w:val="superscript"/>
              </w:rPr>
              <w:t>(6)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197,657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767,184.61</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2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Wavemaker Global Select II, LLC</w:t>
            </w:r>
            <w:r>
              <w:rPr>
                <w:rFonts w:ascii="Times New Roman" w:cs="Times New Roman" w:eastAsia="Times New Roman" w:hAnsi="Times New Roman"/>
                <w:sz w:val="27"/>
                <w:szCs w:val="27"/>
                <w:color w:val="auto"/>
                <w:vertAlign w:val="superscript"/>
              </w:rPr>
              <w:t>(6)</w:t>
            </w:r>
          </w:p>
        </w:tc>
        <w:tc>
          <w:tcPr>
            <w:tcW w:w="1400" w:type="dxa"/>
            <w:vAlign w:val="bottom"/>
            <w:gridSpan w:val="2"/>
            <w:shd w:val="clear" w:color="auto" w:fill="CCEEFF"/>
          </w:tcPr>
          <w:p>
            <w:pPr>
              <w:jc w:val="right"/>
              <w:ind w:right="120"/>
              <w:spacing w:after="0" w:line="233" w:lineRule="exact"/>
              <w:rPr>
                <w:sz w:val="20"/>
                <w:szCs w:val="20"/>
                <w:color w:val="auto"/>
              </w:rPr>
            </w:pPr>
            <w:r>
              <w:rPr>
                <w:rFonts w:ascii="Times New Roman" w:cs="Times New Roman" w:eastAsia="Times New Roman" w:hAnsi="Times New Roman"/>
                <w:sz w:val="16"/>
                <w:szCs w:val="16"/>
                <w:color w:val="auto"/>
              </w:rPr>
              <w:t>461,379</w:t>
            </w:r>
            <w:r>
              <w:rPr>
                <w:rFonts w:ascii="Times New Roman" w:cs="Times New Roman" w:eastAsia="Times New Roman" w:hAnsi="Times New Roman"/>
                <w:sz w:val="27"/>
                <w:szCs w:val="27"/>
                <w:color w:val="auto"/>
                <w:vertAlign w:val="superscript"/>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1,790,794.96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80" w:lineRule="exact"/>
        <w:rPr>
          <w:sz w:val="20"/>
          <w:szCs w:val="20"/>
          <w:color w:val="auto"/>
        </w:rPr>
      </w:pPr>
    </w:p>
    <w:p>
      <w:pPr>
        <w:ind w:left="302" w:hanging="302"/>
        <w:spacing w:after="0"/>
        <w:tabs>
          <w:tab w:leader="none" w:pos="30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 Kashani holds greater than 5% of the pre-Merger capital stock of Serve, serves as Chief Executive Officer and is a member of the Serve Board of Directors.</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partner of each of NEO 2.0., L.P. and NEO 2.0a, L.P. is NEO GP. NEO GP and its affiliates hold greater than 5% of the pre-Merger capital stock of Serve.</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Olivier Vincent serves as a member of the Serve Board of Directors.</w:t>
      </w:r>
    </w:p>
    <w:p>
      <w:pPr>
        <w:spacing w:after="0" w:line="208"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Postmates, LLC is a wholly-owned subsidiary of Uber, which holds greater than 5% of the pre-Merger capital stock of Serve. Sarfraz Maredia is VP, Head of Americas, Delivery at Uber and serves as a member of the Serve Board of Directors.</w:t>
      </w:r>
    </w:p>
    <w:p>
      <w:pPr>
        <w:spacing w:after="0" w:line="13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Pourdad Capital Corp is controlled by Ali Pourdad, who is a member of the Serve Board of Directors.</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Wavemaker Pacific 4, L.P. holds greater than 5% of Serve’s pre-Merger capital stock.</w:t>
      </w:r>
    </w:p>
    <w:p>
      <w:pPr>
        <w:spacing w:after="0" w:line="20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Purchased in a subsequent closing on November 24, 2021.</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2" w:right="339" w:bottom="1440" w:gutter="0" w:footer="0" w:header="0"/>
        </w:sectPr>
      </w:pPr>
    </w:p>
    <w:bookmarkStart w:id="104" w:name="page105"/>
    <w:bookmarkEnd w:id="104"/>
    <w:p>
      <w:pPr>
        <w:ind w:left="2"/>
        <w:spacing w:after="0"/>
        <w:rPr>
          <w:sz w:val="20"/>
          <w:szCs w:val="20"/>
          <w:color w:val="auto"/>
        </w:rPr>
      </w:pPr>
      <w:r>
        <w:rPr>
          <w:rFonts w:ascii="Times New Roman" w:cs="Times New Roman" w:eastAsia="Times New Roman" w:hAnsi="Times New Roman"/>
          <w:sz w:val="16"/>
          <w:szCs w:val="16"/>
          <w:i w:val="1"/>
          <w:iCs w:val="1"/>
          <w:color w:val="auto"/>
        </w:rPr>
        <w:t>Preferred Warrants</w:t>
      </w:r>
    </w:p>
    <w:p>
      <w:pPr>
        <w:spacing w:after="0" w:line="211" w:lineRule="exact"/>
        <w:rPr>
          <w:sz w:val="20"/>
          <w:szCs w:val="20"/>
          <w:color w:val="auto"/>
        </w:rPr>
      </w:pPr>
    </w:p>
    <w:p>
      <w:pPr>
        <w:jc w:val="both"/>
        <w:ind w:left="2"/>
        <w:spacing w:after="0" w:line="294" w:lineRule="auto"/>
        <w:rPr>
          <w:sz w:val="20"/>
          <w:szCs w:val="20"/>
          <w:color w:val="auto"/>
        </w:rPr>
      </w:pPr>
      <w:r>
        <w:rPr>
          <w:rFonts w:ascii="Times New Roman" w:cs="Times New Roman" w:eastAsia="Times New Roman" w:hAnsi="Times New Roman"/>
          <w:sz w:val="16"/>
          <w:szCs w:val="16"/>
          <w:color w:val="auto"/>
        </w:rPr>
        <w:t>On October 4, 2021, Serve issued a warrant to purchase 128,819 shares of Series Seed Preferred Stock at an exercise price of $3.88 per share to Wavemaker Global Select II, LLC. All of these warrants were transferred on April 19, 2023, with 64,410 being transferred to James Buckly Jordan, a member of the Serve Board of Directors.</w:t>
      </w:r>
    </w:p>
    <w:p>
      <w:pPr>
        <w:spacing w:after="0" w:line="1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2022 SAFEs</w:t>
      </w:r>
    </w:p>
    <w:p>
      <w:pPr>
        <w:spacing w:after="0" w:line="211" w:lineRule="exact"/>
        <w:rPr>
          <w:sz w:val="20"/>
          <w:szCs w:val="20"/>
          <w:color w:val="auto"/>
        </w:rPr>
      </w:pPr>
    </w:p>
    <w:p>
      <w:pPr>
        <w:jc w:val="both"/>
        <w:ind w:left="2"/>
        <w:spacing w:after="0" w:line="272" w:lineRule="auto"/>
        <w:rPr>
          <w:sz w:val="20"/>
          <w:szCs w:val="20"/>
          <w:color w:val="auto"/>
        </w:rPr>
      </w:pPr>
      <w:r>
        <w:rPr>
          <w:rFonts w:ascii="Times New Roman" w:cs="Times New Roman" w:eastAsia="Times New Roman" w:hAnsi="Times New Roman"/>
          <w:sz w:val="16"/>
          <w:szCs w:val="16"/>
          <w:color w:val="auto"/>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196"/>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196"/>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Price for</w:t>
            </w:r>
          </w:p>
        </w:tc>
      </w:tr>
      <w:tr>
        <w:trPr>
          <w:trHeight w:val="221"/>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Purchaser</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2022 SAFEs</w:t>
            </w:r>
          </w:p>
        </w:tc>
        <w:tc>
          <w:tcPr>
            <w:tcW w:w="100" w:type="dxa"/>
            <w:vAlign w:val="bottom"/>
            <w:tcBorders>
              <w:bottom w:val="single" w:sz="8" w:color="CCEEFF"/>
            </w:tcBorders>
          </w:tcPr>
          <w:p>
            <w:pPr>
              <w:spacing w:after="0"/>
              <w:rPr>
                <w:sz w:val="19"/>
                <w:szCs w:val="19"/>
                <w:color w:val="auto"/>
              </w:rPr>
            </w:pPr>
          </w:p>
        </w:tc>
      </w:tr>
      <w:tr>
        <w:trPr>
          <w:trHeight w:val="233"/>
        </w:trPr>
        <w:tc>
          <w:tcPr>
            <w:tcW w:w="99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NEO 2.0, L.P.</w:t>
            </w:r>
            <w:r>
              <w:rPr>
                <w:rFonts w:ascii="Times New Roman" w:cs="Times New Roman" w:eastAsia="Times New Roman" w:hAnsi="Times New Roman"/>
                <w:sz w:val="27"/>
                <w:szCs w:val="27"/>
                <w:color w:val="auto"/>
                <w:vertAlign w:val="superscript"/>
              </w:rPr>
              <w:t>(1)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987,482.99</w:t>
            </w:r>
          </w:p>
        </w:tc>
      </w:tr>
      <w:tr>
        <w:trPr>
          <w:trHeight w:val="233"/>
        </w:trPr>
        <w:tc>
          <w:tcPr>
            <w:tcW w:w="990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NEO 2.0a, L.P.</w:t>
            </w:r>
            <w:r>
              <w:rPr>
                <w:rFonts w:ascii="Times New Roman" w:cs="Times New Roman" w:eastAsia="Times New Roman" w:hAnsi="Times New Roman"/>
                <w:sz w:val="27"/>
                <w:szCs w:val="27"/>
                <w:color w:val="auto"/>
                <w:vertAlign w:val="superscript"/>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12,517.01</w:t>
            </w:r>
          </w:p>
        </w:tc>
        <w:tc>
          <w:tcPr>
            <w:tcW w:w="100" w:type="dxa"/>
            <w:vAlign w:val="bottom"/>
          </w:tcPr>
          <w:p>
            <w:pPr>
              <w:spacing w:after="0"/>
              <w:rPr>
                <w:sz w:val="20"/>
                <w:szCs w:val="20"/>
                <w:color w:val="auto"/>
              </w:rPr>
            </w:pPr>
          </w:p>
        </w:tc>
      </w:tr>
      <w:tr>
        <w:trPr>
          <w:trHeight w:val="19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NVIDIA</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shd w:val="clear" w:color="auto" w:fill="CCEEFF"/>
          </w:tcPr>
          <w:p>
            <w:pPr>
              <w:spacing w:after="0"/>
              <w:rPr>
                <w:sz w:val="17"/>
                <w:szCs w:val="17"/>
                <w:color w:val="auto"/>
              </w:rPr>
            </w:pPr>
          </w:p>
        </w:tc>
      </w:tr>
      <w:tr>
        <w:trPr>
          <w:trHeight w:val="233"/>
        </w:trPr>
        <w:tc>
          <w:tcPr>
            <w:tcW w:w="990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Postmates, LLC</w:t>
            </w:r>
            <w:r>
              <w:rPr>
                <w:rFonts w:ascii="Times New Roman" w:cs="Times New Roman" w:eastAsia="Times New Roman" w:hAnsi="Times New Roman"/>
                <w:sz w:val="27"/>
                <w:szCs w:val="27"/>
                <w:color w:val="auto"/>
                <w:vertAlign w:val="superscript"/>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tcPr>
          <w:p>
            <w:pPr>
              <w:spacing w:after="0"/>
              <w:rPr>
                <w:sz w:val="20"/>
                <w:szCs w:val="20"/>
                <w:color w:val="auto"/>
              </w:rPr>
            </w:pPr>
          </w:p>
        </w:tc>
      </w:tr>
      <w:tr>
        <w:trPr>
          <w:trHeight w:val="233"/>
        </w:trPr>
        <w:tc>
          <w:tcPr>
            <w:tcW w:w="99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Wavemaker Pacific 4, L.P.</w:t>
            </w:r>
            <w:r>
              <w:rPr>
                <w:rFonts w:ascii="Times New Roman" w:cs="Times New Roman" w:eastAsia="Times New Roman" w:hAnsi="Times New Roman"/>
                <w:sz w:val="27"/>
                <w:szCs w:val="27"/>
                <w:color w:val="auto"/>
                <w:vertAlign w:val="superscript"/>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shd w:val="clear" w:color="auto" w:fill="CCEEFF"/>
          </w:tcPr>
          <w:p>
            <w:pPr>
              <w:spacing w:after="0"/>
              <w:rPr>
                <w:sz w:val="20"/>
                <w:szCs w:val="20"/>
                <w:color w:val="auto"/>
              </w:rPr>
            </w:pPr>
          </w:p>
        </w:tc>
      </w:tr>
    </w:tbl>
    <w:p>
      <w:pPr>
        <w:spacing w:after="0" w:line="180" w:lineRule="exact"/>
        <w:rPr>
          <w:sz w:val="20"/>
          <w:szCs w:val="20"/>
          <w:color w:val="auto"/>
        </w:rPr>
      </w:pPr>
    </w:p>
    <w:p>
      <w:pPr>
        <w:ind w:left="302" w:hanging="302"/>
        <w:spacing w:after="0"/>
        <w:tabs>
          <w:tab w:leader="none" w:pos="30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partner of each of NEO 2.0., L.P. and NEO 2.0a, L.P. is NEO GP. NEO GP and its affiliates hold greater than 5% of the pre-Merger capital stock of Serve.</w:t>
      </w:r>
    </w:p>
    <w:p>
      <w:pPr>
        <w:spacing w:after="0" w:line="208" w:lineRule="exact"/>
        <w:rPr>
          <w:rFonts w:ascii="Times New Roman" w:cs="Times New Roman" w:eastAsia="Times New Roman" w:hAnsi="Times New Roman"/>
          <w:sz w:val="16"/>
          <w:szCs w:val="16"/>
          <w:color w:val="auto"/>
        </w:rPr>
      </w:pPr>
    </w:p>
    <w:p>
      <w:pPr>
        <w:ind w:left="302" w:hanging="302"/>
        <w:spacing w:after="0" w:line="294" w:lineRule="auto"/>
        <w:tabs>
          <w:tab w:leader="none" w:pos="30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Postmates, LLC is a wholly-owned subsidiary of Uber, which holds greater than 5% of the pre-Merger capital stock of Serve. Sarfraz Maredia is VP, Head of Americas, Delivery at Uber and serves as a member of the Serve Board of Directors.</w:t>
      </w:r>
    </w:p>
    <w:p>
      <w:pPr>
        <w:spacing w:after="0" w:line="138"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Wavemaker Pacific 4, L.P. holds greater than 5% of Serve’s pre-Merger capital stock.</w:t>
      </w:r>
    </w:p>
    <w:p>
      <w:pPr>
        <w:spacing w:after="0" w:line="2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211" w:lineRule="exact"/>
        <w:rPr>
          <w:sz w:val="20"/>
          <w:szCs w:val="20"/>
          <w:color w:val="auto"/>
        </w:rPr>
      </w:pPr>
    </w:p>
    <w:p>
      <w:pPr>
        <w:jc w:val="both"/>
        <w:ind w:left="2"/>
        <w:spacing w:after="0" w:line="297" w:lineRule="auto"/>
        <w:rPr>
          <w:sz w:val="20"/>
          <w:szCs w:val="20"/>
          <w:color w:val="auto"/>
        </w:rPr>
      </w:pPr>
      <w:r>
        <w:rPr>
          <w:rFonts w:ascii="Times New Roman" w:cs="Times New Roman" w:eastAsia="Times New Roman" w:hAnsi="Times New Roman"/>
          <w:sz w:val="16"/>
          <w:szCs w:val="16"/>
          <w:color w:val="auto"/>
        </w:rPr>
        <w:t>The description set forth above under the caption “</w:t>
      </w:r>
      <w:r>
        <w:rPr>
          <w:rFonts w:ascii="Times New Roman" w:cs="Times New Roman" w:eastAsia="Times New Roman" w:hAnsi="Times New Roman"/>
          <w:sz w:val="16"/>
          <w:szCs w:val="16"/>
          <w:i w:val="1"/>
          <w:iCs w:val="1"/>
          <w:color w:val="auto"/>
        </w:rPr>
        <w:t>Description of the Merger, the Private Placement, and Related Transactions—Registration Rights</w:t>
      </w:r>
      <w:r>
        <w:rPr>
          <w:rFonts w:ascii="Times New Roman" w:cs="Times New Roman" w:eastAsia="Times New Roman" w:hAnsi="Times New Roman"/>
          <w:sz w:val="16"/>
          <w:szCs w:val="16"/>
          <w:color w:val="auto"/>
        </w:rPr>
        <w:t>” is incorporated herein by reference. All of our directors, executive officers and holders of more than 5% of our capital stock are parties to the Registration Rights Agreement.</w:t>
      </w:r>
    </w:p>
    <w:p>
      <w:pPr>
        <w:spacing w:after="0" w:line="1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Participation in Private Placement</w:t>
      </w:r>
    </w:p>
    <w:p>
      <w:pPr>
        <w:spacing w:after="0" w:line="213"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Other Transactions</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 have granted stock options to our executive officers and our directors. For a description of these stock options, see the sections titled “</w:t>
      </w:r>
      <w:r>
        <w:rPr>
          <w:rFonts w:ascii="Times New Roman" w:cs="Times New Roman" w:eastAsia="Times New Roman" w:hAnsi="Times New Roman"/>
          <w:sz w:val="16"/>
          <w:szCs w:val="16"/>
          <w:i w:val="1"/>
          <w:iCs w:val="1"/>
          <w:color w:val="auto"/>
        </w:rPr>
        <w:t>Executive Compensation</w:t>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213"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16"/>
          <w:szCs w:val="16"/>
          <w:color w:val="auto"/>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Party Transactions</w:t>
      </w:r>
    </w:p>
    <w:p>
      <w:pPr>
        <w:spacing w:after="0" w:line="213"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16"/>
          <w:szCs w:val="16"/>
          <w:color w:val="auto"/>
        </w:rPr>
        <w:t>We did not have a formal review and approval policy for related party transactions at the time of any of the transactions described above. However, all of the transactions described above were entered into after presentation, consideration and approval by our board of directors. Subsequently, our audit committee adopted a charter which requires the audit committee to conduct appropriate review and oversight of related party transactions.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estimate that we will receive net proceeds from the sale of the shares of common stock that we are offering of approximately $ million (or approximately $ million if the underwriters exercise their option to purchase additional shares in full) based on an assumed initial public offering price of $ per share of</w:t>
      </w:r>
    </w:p>
    <w:p>
      <w:pPr>
        <w:spacing w:after="0" w:line="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common stock, which is the midpoint of the estimated offering price range set forth on the cover page of this prospectus, after deducting the estimated underwriting discounts and commissions and estimated offering expenses payable by us.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 $1.00 increase (decrease) in the assumed initial public offering price of $ per share of common stock, which is the midpoint of the estimated offering price range set forth on the cover page of this prospectus, would increase (decrease) the net proceeds to us from this offering by approximately $ million, assuming the number of</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shares offered by us, as set forth on the cover page of this prospectus, remains the same, and after deducting estimated underwriting discounts and commissions. Similarly, each increase (decrease) of 1.0 million shares in the number of shares of common stock offered by us would increase (decrease) the net proceeds to us from this offering by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approximately $ million, assuming that the assumed initial public offering price of $ per share of common stock remains the same, and after deducting estimated underwriting discounts and commissions.</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principal purposes of this offering are to increase our financial flexibility, create a public market for our common stock, and facilitate our future access to capital markets. We currently intend to use the net proceeds we receive from this offering for general corporate purposes, including operating expenses, capital expenditures and working capital . We cannot specify with certainty all of the particular uses for the net proceeds to us from this offering.</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may also use a portion of the net proceeds to acquire complementary businesses, products, services, or technologies. However, we do not have agreements or commitments to enter into any acquisitions at this time.</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will have broad discretion over how to use the net proceeds to us from this offering. We intend to invest the net proceeds to us from this offering that are not used as described above in a variety of capital preservation instruments, including short-term, investment-grade, interest-bearing instruments and U.S. government securities.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of directors and will be dependent upon financial condition, results of operations, capital requirements and such other factors as the board of directors deems relevant.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cash and cash equivalents and our capitalization as of September 30, 2023, on:</w:t>
      </w:r>
    </w:p>
    <w:p>
      <w:pPr>
        <w:spacing w:after="0" w:line="209" w:lineRule="exact"/>
        <w:rPr>
          <w:sz w:val="20"/>
          <w:szCs w:val="20"/>
          <w:color w:val="auto"/>
        </w:rPr>
      </w:pPr>
    </w:p>
    <w:p>
      <w:pPr>
        <w:ind w:left="580" w:hanging="287"/>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actual basis;</w:t>
      </w:r>
    </w:p>
    <w:p>
      <w:pPr>
        <w:sectPr>
          <w:pgSz w:w="11900" w:h="16838" w:orient="portrait"/>
          <w:cols w:equalWidth="0" w:num="1">
            <w:col w:w="11240"/>
          </w:cols>
          <w:pgMar w:left="320" w:top="831" w:right="339" w:bottom="1440" w:gutter="0" w:footer="0" w:header="0"/>
        </w:sectPr>
      </w:pPr>
    </w:p>
    <w:p>
      <w:pPr>
        <w:spacing w:after="0" w:line="209" w:lineRule="exact"/>
        <w:rPr>
          <w:sz w:val="20"/>
          <w:szCs w:val="20"/>
          <w:color w:val="auto"/>
        </w:rPr>
      </w:pPr>
    </w:p>
    <w:p>
      <w:pPr>
        <w:ind w:left="300"/>
        <w:spacing w:after="0"/>
        <w:tabs>
          <w:tab w:leader="none" w:pos="560" w:val="left"/>
        </w:tabs>
        <w:rPr>
          <w:sz w:val="20"/>
          <w:szCs w:val="20"/>
          <w:color w:val="auto"/>
        </w:rPr>
      </w:pPr>
      <w:r>
        <w:rPr>
          <w:rFonts w:ascii="Times New Roman" w:cs="Times New Roman" w:eastAsia="Times New Roman" w:hAnsi="Times New Roman"/>
          <w:sz w:val="16"/>
          <w:szCs w:val="16"/>
          <w:color w:val="auto"/>
        </w:rPr>
        <w:t>●</w:t>
        <w:tab/>
        <w:t>a pro forma basis, giving effect to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and</w:t>
      </w:r>
    </w:p>
    <w:p>
      <w:pPr>
        <w:spacing w:after="0" w:line="200" w:lineRule="exact"/>
        <w:rPr>
          <w:sz w:val="20"/>
          <w:szCs w:val="20"/>
          <w:color w:val="auto"/>
        </w:rPr>
      </w:pPr>
    </w:p>
    <w:p>
      <w:pPr>
        <w:sectPr>
          <w:pgSz w:w="11900" w:h="16838" w:orient="portrait"/>
          <w:cols w:equalWidth="0" w:num="2">
            <w:col w:w="2800" w:space="700"/>
            <w:col w:w="7740"/>
          </w:cols>
          <w:pgMar w:left="320" w:top="831" w:right="339" w:bottom="1440" w:gutter="0" w:footer="0" w:header="0"/>
          <w:type w:val="continuous"/>
        </w:sectPr>
      </w:pPr>
    </w:p>
    <w:p>
      <w:pPr>
        <w:spacing w:after="0" w:line="9" w:lineRule="exact"/>
        <w:rPr>
          <w:sz w:val="20"/>
          <w:szCs w:val="20"/>
          <w:color w:val="auto"/>
        </w:rPr>
      </w:pPr>
    </w:p>
    <w:p>
      <w:pPr>
        <w:ind w:left="300"/>
        <w:spacing w:after="0"/>
        <w:tabs>
          <w:tab w:leader="none" w:pos="560" w:val="left"/>
          <w:tab w:leader="none" w:pos="5660" w:val="left"/>
        </w:tabs>
        <w:rPr>
          <w:sz w:val="20"/>
          <w:szCs w:val="20"/>
          <w:color w:val="auto"/>
        </w:rPr>
      </w:pPr>
      <w:r>
        <w:rPr>
          <w:rFonts w:ascii="Times New Roman" w:cs="Times New Roman" w:eastAsia="Times New Roman" w:hAnsi="Times New Roman"/>
          <w:sz w:val="16"/>
          <w:szCs w:val="16"/>
          <w:color w:val="auto"/>
        </w:rPr>
        <w:t>●</w:t>
        <w:tab/>
        <w:t>a pro forma as adjusted basis, giving effect to our issuance and sale of</w:t>
      </w:r>
      <w:r>
        <w:rPr>
          <w:sz w:val="20"/>
          <w:szCs w:val="20"/>
          <w:color w:val="auto"/>
        </w:rPr>
        <w:tab/>
      </w:r>
      <w:r>
        <w:rPr>
          <w:rFonts w:ascii="Times New Roman" w:cs="Times New Roman" w:eastAsia="Times New Roman" w:hAnsi="Times New Roman"/>
          <w:sz w:val="16"/>
          <w:szCs w:val="16"/>
          <w:color w:val="auto"/>
        </w:rPr>
        <w:t>shares of common stock in this offering at an assumed initial public offering price of</w:t>
      </w:r>
    </w:p>
    <w:p>
      <w:pPr>
        <w:sectPr>
          <w:pgSz w:w="11900" w:h="16838" w:orient="portrait"/>
          <w:cols w:equalWidth="0" w:num="1">
            <w:col w:w="11240"/>
          </w:cols>
          <w:pgMar w:left="320" w:top="831" w:right="339" w:bottom="1440" w:gutter="0" w:footer="0" w:header="0"/>
          <w:type w:val="continuous"/>
        </w:sectPr>
      </w:pPr>
    </w:p>
    <w:p>
      <w:pPr>
        <w:spacing w:after="0" w:line="30" w:lineRule="exact"/>
        <w:rPr>
          <w:sz w:val="20"/>
          <w:szCs w:val="20"/>
          <w:color w:val="auto"/>
        </w:rPr>
      </w:pPr>
    </w:p>
    <w:p>
      <w:pPr>
        <w:ind w:left="580" w:firstLine="7"/>
        <w:spacing w:after="0" w:line="272" w:lineRule="auto"/>
        <w:tabs>
          <w:tab w:leader="none" w:pos="127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which is the midpoint of the estimated offering price range set forth on the cover page of this prospectus, after deducting the estimated underwriting discounts and commissions and estimated offering expenses payable by us.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pro forma information set forth below is illustrative only, and our capitalization following the closing of this offering will be adjusted based on the actual initial public offering price and other terms of this offering determined at pricing. This table should be read in conjunction with the information contained in this prospectus, including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and our consolidated financial statements and the related notes thereto appearing elsewhere in this prospectus.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2023</w:t>
            </w: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21"/>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par value data)</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29"/>
        </w:trPr>
        <w:tc>
          <w:tcPr>
            <w:tcW w:w="54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1"/>
        </w:trPr>
        <w:tc>
          <w:tcPr>
            <w:tcW w:w="14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Debt:</w:t>
            </w:r>
          </w:p>
        </w:tc>
        <w:tc>
          <w:tcPr>
            <w:tcW w:w="3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4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4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9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0"/>
        </w:trPr>
        <w:tc>
          <w:tcPr>
            <w:tcW w:w="6380" w:type="dxa"/>
            <w:vAlign w:val="bottom"/>
            <w:gridSpan w:val="3"/>
          </w:tcPr>
          <w:p>
            <w:pPr>
              <w:ind w:left="140"/>
              <w:spacing w:after="0" w:line="180" w:lineRule="exact"/>
              <w:rPr>
                <w:sz w:val="20"/>
                <w:szCs w:val="20"/>
                <w:color w:val="auto"/>
              </w:rPr>
            </w:pPr>
            <w:r>
              <w:rPr>
                <w:rFonts w:ascii="Times New Roman" w:cs="Times New Roman" w:eastAsia="Times New Roman" w:hAnsi="Times New Roman"/>
                <w:sz w:val="16"/>
                <w:szCs w:val="16"/>
                <w:color w:val="auto"/>
              </w:rPr>
              <w:t>Common stock, $0.0001 par value; shares authorized, shares issued and outstanding, actual;</w:t>
            </w:r>
          </w:p>
        </w:tc>
        <w:tc>
          <w:tcPr>
            <w:tcW w:w="2300" w:type="dxa"/>
            <w:vAlign w:val="bottom"/>
            <w:gridSpan w:val="4"/>
          </w:tcPr>
          <w:p>
            <w:pPr>
              <w:ind w:left="240"/>
              <w:spacing w:after="0" w:line="180" w:lineRule="exact"/>
              <w:rPr>
                <w:sz w:val="20"/>
                <w:szCs w:val="20"/>
                <w:color w:val="auto"/>
              </w:rPr>
            </w:pPr>
            <w:r>
              <w:rPr>
                <w:rFonts w:ascii="Times New Roman" w:cs="Times New Roman" w:eastAsia="Times New Roman" w:hAnsi="Times New Roman"/>
                <w:sz w:val="16"/>
                <w:szCs w:val="16"/>
                <w:color w:val="auto"/>
              </w:rPr>
              <w:t>shares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1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authorized,</w:t>
            </w:r>
          </w:p>
        </w:tc>
        <w:tc>
          <w:tcPr>
            <w:tcW w:w="4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shares issued and outstanding, pro forma and pro forma as adjusted;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9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6"/>
        </w:trPr>
        <w:tc>
          <w:tcPr>
            <w:tcW w:w="54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9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85"/>
        </w:trPr>
        <w:tc>
          <w:tcPr>
            <w:tcW w:w="14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capitalization</w:t>
            </w:r>
          </w:p>
        </w:tc>
        <w:tc>
          <w:tcPr>
            <w:tcW w:w="3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9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95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7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6"/>
                <w:szCs w:val="16"/>
                <w:color w:val="auto"/>
              </w:rPr>
            </w:pPr>
          </w:p>
        </w:tc>
      </w:tr>
      <w:tr>
        <w:trPr>
          <w:trHeight w:val="394"/>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Each $1.00 increase (decrease) in the assumed initial public offering price of $</w:t>
            </w:r>
          </w:p>
        </w:tc>
        <w:tc>
          <w:tcPr>
            <w:tcW w:w="5820" w:type="dxa"/>
            <w:vAlign w:val="bottom"/>
            <w:gridSpan w:val="10"/>
          </w:tcPr>
          <w:p>
            <w:pPr>
              <w:ind w:left="240"/>
              <w:spacing w:after="0"/>
              <w:rPr>
                <w:sz w:val="20"/>
                <w:szCs w:val="20"/>
                <w:color w:val="auto"/>
              </w:rPr>
            </w:pPr>
            <w:r>
              <w:rPr>
                <w:rFonts w:ascii="Times New Roman" w:cs="Times New Roman" w:eastAsia="Times New Roman" w:hAnsi="Times New Roman"/>
                <w:sz w:val="16"/>
                <w:szCs w:val="16"/>
                <w:color w:val="auto"/>
              </w:rPr>
              <w:t>per share, which is the midpoint of the estimated offering price range set forth on the</w:t>
            </w:r>
          </w:p>
        </w:tc>
      </w:tr>
    </w:tbl>
    <w:p>
      <w:pPr>
        <w:spacing w:after="0"/>
        <w:rPr>
          <w:sz w:val="20"/>
          <w:szCs w:val="20"/>
          <w:color w:val="auto"/>
        </w:rPr>
      </w:pPr>
      <w:r>
        <w:rPr>
          <w:rFonts w:ascii="Times New Roman" w:cs="Times New Roman" w:eastAsia="Times New Roman" w:hAnsi="Times New Roman"/>
          <w:sz w:val="16"/>
          <w:szCs w:val="16"/>
          <w:color w:val="auto"/>
        </w:rPr>
        <w:t>cover page of this prospectus, would increase (decrease) each of our pro forma cash and cash equivalents, additional paid-in capital, and total capitalization by</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approximately $ million, assuming the number of shares of common stock offered by us, as set forth on the cover page of this prospectus, remains the same and after deducting estimated underwriting discounts and commissions. Similarly, each increase (decrease) of 1.0 million shares in the number of shares of common stock offered by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us would increase (decrease) each of our pro forma cash and cash equivalents, additional paid-in capital, and total capitalization by approximately $ million, assuming the assumed initial public offering price of $ per share remains the same, and after deducting estimated underwriting discounts and commissions.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the underwriters exercise their option to purchase additional shares of our common stock in full, pro forma cash and cash equivalents, additional paid-in capital, total</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capitalization, and shares of common stock outstanding as of September 30, 2023, would be $ million, $ million, $ million, $ million and , respectively. The pro forma information set forth above is illustrative only and will change based on the actual initial public offering price and other terms of this offering determined at pricing.</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type w:val="continuous"/>
        </w:sectPr>
      </w:pPr>
    </w:p>
    <w:bookmarkStart w:id="108" w:name="page109"/>
    <w:bookmarkEnd w:id="108"/>
    <w:p>
      <w:pPr>
        <w:spacing w:after="0" w:line="267" w:lineRule="auto"/>
        <w:rPr>
          <w:sz w:val="20"/>
          <w:szCs w:val="20"/>
          <w:color w:val="auto"/>
        </w:rPr>
      </w:pPr>
      <w:r>
        <w:rPr>
          <w:rFonts w:ascii="Times New Roman" w:cs="Times New Roman" w:eastAsia="Times New Roman" w:hAnsi="Times New Roman"/>
          <w:sz w:val="16"/>
          <w:szCs w:val="16"/>
          <w:color w:val="auto"/>
        </w:rPr>
        <w:t>The number of shares of common stock to be outstanding after this offering is based on an aggregate of shares outstanding as of , 2024 (including shares of our common stock to be issued upon the conversion of convertible promissory notes immediately prior to the completion of this offering (based upon the assumed initial</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public offering price of $ per share, which is the midpoint of the estimated offering price range set forth on the cover page of this prospectus)) on a pro forma basis, which includes shares to be sold by us in the offering, but excludes:</w:t>
      </w:r>
    </w:p>
    <w:p>
      <w:pPr>
        <w:spacing w:after="0" w:line="155" w:lineRule="exact"/>
        <w:rPr>
          <w:sz w:val="20"/>
          <w:szCs w:val="20"/>
          <w:color w:val="auto"/>
        </w:rPr>
      </w:pPr>
    </w:p>
    <w:p>
      <w:pPr>
        <w:ind w:left="1360" w:hanging="773"/>
        <w:spacing w:after="0"/>
        <w:tabs>
          <w:tab w:leader="none" w:pos="13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issuable upon the exercise of stock options outstanding that were subject to options originally granted under the Serve’s 2021</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20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Plan, with a weighted-average exercise price of $</w:t>
            </w:r>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 share;</w:t>
            </w: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outstanding Bridge Warrants to purchase an aggregate of</w:t>
            </w:r>
          </w:p>
        </w:tc>
        <w:tc>
          <w:tcPr>
            <w:tcW w:w="422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 share as of</w:t>
            </w:r>
          </w:p>
        </w:tc>
        <w:tc>
          <w:tcPr>
            <w:tcW w:w="240" w:type="dxa"/>
            <w:vAlign w:val="bottom"/>
          </w:tcPr>
          <w:p>
            <w:pPr>
              <w:spacing w:after="0"/>
              <w:rPr>
                <w:sz w:val="24"/>
                <w:szCs w:val="24"/>
                <w:color w:val="auto"/>
              </w:rPr>
            </w:pPr>
          </w:p>
        </w:tc>
        <w:tc>
          <w:tcPr>
            <w:tcW w:w="94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rPr>
              <w:t>;</w:t>
            </w: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outstanding Bridge Broker Warrants to purchase an aggregate of</w:t>
            </w:r>
          </w:p>
        </w:tc>
        <w:tc>
          <w:tcPr>
            <w:tcW w:w="42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 share as</w:t>
            </w:r>
          </w:p>
        </w:tc>
      </w:tr>
      <w:tr>
        <w:trPr>
          <w:trHeight w:val="214"/>
        </w:trPr>
        <w:tc>
          <w:tcPr>
            <w:tcW w:w="20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3220" w:type="dxa"/>
            <w:vAlign w:val="bottom"/>
          </w:tcPr>
          <w:p>
            <w:pPr>
              <w:jc w:val="right"/>
              <w:ind w:right="283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outstanding Placement Agent A Warrants to purchase an aggregate of</w:t>
            </w:r>
          </w:p>
        </w:tc>
        <w:tc>
          <w:tcPr>
            <w:tcW w:w="42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 share as</w:t>
            </w:r>
          </w:p>
        </w:tc>
      </w:tr>
      <w:tr>
        <w:trPr>
          <w:trHeight w:val="214"/>
        </w:trPr>
        <w:tc>
          <w:tcPr>
            <w:tcW w:w="20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3220" w:type="dxa"/>
            <w:vAlign w:val="bottom"/>
          </w:tcPr>
          <w:p>
            <w:pPr>
              <w:jc w:val="right"/>
              <w:ind w:right="283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outstanding Placement Agent B Warrants to purchase an aggregate of</w:t>
            </w:r>
          </w:p>
        </w:tc>
        <w:tc>
          <w:tcPr>
            <w:tcW w:w="42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 share as</w:t>
            </w:r>
          </w:p>
        </w:tc>
      </w:tr>
      <w:tr>
        <w:trPr>
          <w:trHeight w:val="214"/>
        </w:trPr>
        <w:tc>
          <w:tcPr>
            <w:tcW w:w="20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3220" w:type="dxa"/>
            <w:vAlign w:val="bottom"/>
          </w:tcPr>
          <w:p>
            <w:pPr>
              <w:jc w:val="right"/>
              <w:ind w:right="29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outstanding warrants to purchase an aggregate of</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shares of our common stock at the exercise price of $</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per share as of</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assumed by us in</w:t>
            </w:r>
          </w:p>
        </w:tc>
      </w:tr>
      <w:tr>
        <w:trPr>
          <w:trHeight w:val="214"/>
        </w:trPr>
        <w:tc>
          <w:tcPr>
            <w:tcW w:w="20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connection with the Merger;</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outstanding warrant to purchase an aggregate of</w:t>
            </w:r>
          </w:p>
        </w:tc>
        <w:tc>
          <w:tcPr>
            <w:tcW w:w="38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shares of our common stock at the exercise price of $</w:t>
            </w:r>
          </w:p>
        </w:tc>
        <w:tc>
          <w:tcPr>
            <w:tcW w:w="34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per share as of</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issued to</w:t>
            </w:r>
          </w:p>
        </w:tc>
      </w:tr>
      <w:tr>
        <w:trPr>
          <w:trHeight w:val="214"/>
        </w:trPr>
        <w:tc>
          <w:tcPr>
            <w:tcW w:w="20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8"/>
              </w:rPr>
              <w:t>Magna;</w:t>
            </w:r>
          </w:p>
        </w:tc>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Convertible Promissory Notes Offering Warrants to purchase an aggregate of shares</w:t>
            </w:r>
          </w:p>
        </w:tc>
        <w:tc>
          <w:tcPr>
            <w:tcW w:w="35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of our common stock at the exercise price of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 share as</w:t>
            </w:r>
          </w:p>
        </w:tc>
      </w:tr>
      <w:tr>
        <w:trPr>
          <w:trHeight w:val="214"/>
        </w:trPr>
        <w:tc>
          <w:tcPr>
            <w:tcW w:w="20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3220" w:type="dxa"/>
            <w:vAlign w:val="bottom"/>
          </w:tcPr>
          <w:p>
            <w:pPr>
              <w:jc w:val="right"/>
              <w:ind w:right="2818"/>
              <w:spacing w:after="0"/>
              <w:rPr>
                <w:sz w:val="20"/>
                <w:szCs w:val="20"/>
                <w:color w:val="auto"/>
              </w:rPr>
            </w:pPr>
            <w:r>
              <w:rPr>
                <w:rFonts w:ascii="Times New Roman" w:cs="Times New Roman" w:eastAsia="Times New Roman" w:hAnsi="Times New Roman"/>
                <w:sz w:val="16"/>
                <w:szCs w:val="16"/>
                <w:color w:val="auto"/>
                <w:w w:val="94"/>
              </w:rPr>
              <w:t>; and</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Underwriter’s Warrants to purchase an aggregate of</w:t>
            </w:r>
          </w:p>
        </w:tc>
        <w:tc>
          <w:tcPr>
            <w:tcW w:w="546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shares of our common stock to be issued in connection with this offering.</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as otherwise indicated, all information in this prospectus assumes:</w:t>
      </w:r>
    </w:p>
    <w:p>
      <w:pPr>
        <w:spacing w:after="0" w:line="209" w:lineRule="exact"/>
        <w:rPr>
          <w:sz w:val="20"/>
          <w:szCs w:val="20"/>
          <w:color w:val="auto"/>
        </w:rPr>
      </w:pPr>
    </w:p>
    <w:p>
      <w:pPr>
        <w:ind w:left="880" w:hanging="293"/>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automatic conversion of our convertible promissory notes into shares of common stock immediately prior to the completion of this offering;</w:t>
      </w:r>
    </w:p>
    <w:p>
      <w:pPr>
        <w:spacing w:after="0" w:line="208" w:lineRule="exact"/>
        <w:rPr>
          <w:rFonts w:ascii="Times New Roman" w:cs="Times New Roman" w:eastAsia="Times New Roman" w:hAnsi="Times New Roman"/>
          <w:sz w:val="16"/>
          <w:szCs w:val="16"/>
          <w:color w:val="auto"/>
        </w:rPr>
      </w:pPr>
    </w:p>
    <w:p>
      <w:pPr>
        <w:ind w:left="880" w:hanging="293"/>
        <w:spacing w:after="0" w:line="267" w:lineRule="auto"/>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or cancellation of other outstanding options and warrants or settlement of outstanding restricted stock awards subsequent to December 31, 2023; and</w:t>
      </w:r>
    </w:p>
    <w:p>
      <w:pPr>
        <w:spacing w:after="0" w:line="384"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of the underwriters’ over-allotment option.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09" w:name="page110"/>
    <w:bookmarkEnd w:id="109"/>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DILUTION</w:t>
      </w:r>
    </w:p>
    <w:p>
      <w:pPr>
        <w:spacing w:after="0" w:line="213" w:lineRule="exact"/>
        <w:rPr>
          <w:sz w:val="20"/>
          <w:szCs w:val="20"/>
          <w:color w:val="auto"/>
        </w:rPr>
      </w:pPr>
    </w:p>
    <w:p>
      <w:pPr>
        <w:jc w:val="both"/>
        <w:ind w:left="2" w:right="20"/>
        <w:spacing w:after="0" w:line="269" w:lineRule="auto"/>
        <w:rPr>
          <w:sz w:val="20"/>
          <w:szCs w:val="20"/>
          <w:color w:val="auto"/>
        </w:rPr>
      </w:pPr>
      <w:r>
        <w:rPr>
          <w:rFonts w:ascii="Times New Roman" w:cs="Times New Roman" w:eastAsia="Times New Roman" w:hAnsi="Times New Roman"/>
          <w:sz w:val="16"/>
          <w:szCs w:val="16"/>
          <w:color w:val="auto"/>
        </w:rPr>
        <w:t>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 Dilution results from the fact that the per share offering price of our common stock is substantially in excess of the pro forma net tangible book value per share attributable to our existing stockholders.</w:t>
      </w:r>
    </w:p>
    <w:p>
      <w:pPr>
        <w:spacing w:after="0" w:line="157"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color w:val="auto"/>
        </w:rPr>
        <w:t>As of , 2024, we had a historical net tangible book value of $ million, or $ per share of common stock, based on shares of our common stock outstanding. Our historical net tangible book value per share represents the amount of our total tangible assets, less total liabilities, divided by the total number of shares of</w:t>
      </w:r>
    </w:p>
    <w:p>
      <w:pPr>
        <w:spacing w:after="0" w:line="1" w:lineRule="exact"/>
        <w:rPr>
          <w:sz w:val="20"/>
          <w:szCs w:val="20"/>
          <w:color w:val="auto"/>
        </w:rPr>
      </w:pPr>
    </w:p>
    <w:p>
      <w:pPr>
        <w:ind w:left="2"/>
        <w:spacing w:after="0"/>
        <w:tabs>
          <w:tab w:leader="none" w:pos="2681" w:val="left"/>
        </w:tabs>
        <w:rPr>
          <w:sz w:val="20"/>
          <w:szCs w:val="20"/>
          <w:color w:val="auto"/>
        </w:rPr>
      </w:pPr>
      <w:r>
        <w:rPr>
          <w:rFonts w:ascii="Times New Roman" w:cs="Times New Roman" w:eastAsia="Times New Roman" w:hAnsi="Times New Roman"/>
          <w:sz w:val="16"/>
          <w:szCs w:val="16"/>
          <w:color w:val="auto"/>
        </w:rPr>
        <w:t>our common stock outstanding as of</w:t>
      </w:r>
      <w:r>
        <w:rPr>
          <w:sz w:val="20"/>
          <w:szCs w:val="20"/>
          <w:color w:val="auto"/>
        </w:rPr>
        <w:tab/>
      </w:r>
      <w:r>
        <w:rPr>
          <w:rFonts w:ascii="Times New Roman" w:cs="Times New Roman" w:eastAsia="Times New Roman" w:hAnsi="Times New Roman"/>
          <w:sz w:val="16"/>
          <w:szCs w:val="16"/>
          <w:color w:val="auto"/>
        </w:rPr>
        <w:t>, 2024.</w:t>
      </w:r>
    </w:p>
    <w:p>
      <w:pPr>
        <w:spacing w:after="0" w:line="191" w:lineRule="exact"/>
        <w:rPr>
          <w:sz w:val="20"/>
          <w:szCs w:val="20"/>
          <w:color w:val="auto"/>
        </w:rPr>
      </w:pPr>
    </w:p>
    <w:p>
      <w:pPr>
        <w:ind w:left="2"/>
        <w:spacing w:after="0"/>
        <w:tabs>
          <w:tab w:leader="none" w:pos="3521" w:val="left"/>
          <w:tab w:leader="none" w:pos="4961" w:val="left"/>
          <w:tab w:leader="none" w:pos="6361" w:val="left"/>
        </w:tabs>
        <w:rPr>
          <w:sz w:val="20"/>
          <w:szCs w:val="20"/>
          <w:color w:val="auto"/>
        </w:rPr>
      </w:pPr>
      <w:r>
        <w:rPr>
          <w:rFonts w:ascii="Times New Roman" w:cs="Times New Roman" w:eastAsia="Times New Roman" w:hAnsi="Times New Roman"/>
          <w:sz w:val="16"/>
          <w:szCs w:val="16"/>
          <w:color w:val="auto"/>
        </w:rPr>
        <w:t>Our pro forma net tangible book value as of</w:t>
      </w:r>
      <w:r>
        <w:rPr>
          <w:sz w:val="20"/>
          <w:szCs w:val="20"/>
          <w:color w:val="auto"/>
        </w:rPr>
        <w:tab/>
      </w:r>
      <w:r>
        <w:rPr>
          <w:rFonts w:ascii="Times New Roman" w:cs="Times New Roman" w:eastAsia="Times New Roman" w:hAnsi="Times New Roman"/>
          <w:sz w:val="16"/>
          <w:szCs w:val="16"/>
          <w:color w:val="auto"/>
        </w:rPr>
        <w:t>, 2024 was $</w:t>
      </w:r>
      <w:r>
        <w:rPr>
          <w:sz w:val="20"/>
          <w:szCs w:val="20"/>
          <w:color w:val="auto"/>
        </w:rPr>
        <w:tab/>
      </w:r>
      <w:r>
        <w:rPr>
          <w:rFonts w:ascii="Times New Roman" w:cs="Times New Roman" w:eastAsia="Times New Roman" w:hAnsi="Times New Roman"/>
          <w:sz w:val="16"/>
          <w:szCs w:val="16"/>
          <w:color w:val="auto"/>
        </w:rPr>
        <w:t>million, or $</w:t>
      </w:r>
      <w:r>
        <w:rPr>
          <w:sz w:val="20"/>
          <w:szCs w:val="20"/>
          <w:color w:val="auto"/>
        </w:rPr>
        <w:tab/>
      </w:r>
      <w:r>
        <w:rPr>
          <w:rFonts w:ascii="Times New Roman" w:cs="Times New Roman" w:eastAsia="Times New Roman" w:hAnsi="Times New Roman"/>
          <w:sz w:val="16"/>
          <w:szCs w:val="16"/>
          <w:color w:val="auto"/>
        </w:rPr>
        <w:t>per share of common stock. Pro forma net tangible book value per share</w:t>
      </w:r>
    </w:p>
    <w:p>
      <w:pPr>
        <w:spacing w:after="0" w:line="30" w:lineRule="exact"/>
        <w:rPr>
          <w:sz w:val="20"/>
          <w:szCs w:val="20"/>
          <w:color w:val="auto"/>
        </w:rPr>
      </w:pPr>
    </w:p>
    <w:p>
      <w:pPr>
        <w:jc w:val="both"/>
        <w:ind w:left="2" w:right="20"/>
        <w:spacing w:after="0" w:line="264" w:lineRule="auto"/>
        <w:rPr>
          <w:sz w:val="20"/>
          <w:szCs w:val="20"/>
          <w:color w:val="auto"/>
        </w:rPr>
      </w:pPr>
      <w:r>
        <w:rPr>
          <w:rFonts w:ascii="Times New Roman" w:cs="Times New Roman" w:eastAsia="Times New Roman" w:hAnsi="Times New Roman"/>
          <w:sz w:val="16"/>
          <w:szCs w:val="16"/>
          <w:color w:val="auto"/>
        </w:rPr>
        <w:t>represents the amount of our total tangible assets, less total liabilities, divided by the aggregate number of shares of our common stock outstanding as of , 2024, on a pro forma basis, after giving effect to the conversion of all of our outstanding convertible promissory notes into shares of common stock, which will occur automatically upon the closing of this offering.</w:t>
      </w:r>
    </w:p>
    <w:p>
      <w:pPr>
        <w:spacing w:after="0" w:line="161" w:lineRule="exact"/>
        <w:rPr>
          <w:sz w:val="20"/>
          <w:szCs w:val="20"/>
          <w:color w:val="auto"/>
        </w:rPr>
      </w:pPr>
    </w:p>
    <w:p>
      <w:pPr>
        <w:jc w:val="both"/>
        <w:ind w:left="2" w:right="20"/>
        <w:spacing w:after="0" w:line="267" w:lineRule="auto"/>
        <w:rPr>
          <w:sz w:val="20"/>
          <w:szCs w:val="20"/>
          <w:color w:val="auto"/>
        </w:rPr>
      </w:pPr>
      <w:r>
        <w:rPr>
          <w:rFonts w:ascii="Times New Roman" w:cs="Times New Roman" w:eastAsia="Times New Roman" w:hAnsi="Times New Roman"/>
          <w:sz w:val="16"/>
          <w:szCs w:val="16"/>
          <w:color w:val="auto"/>
        </w:rPr>
        <w:t>After giving further effect to the sale and issuance by us of the shares of our common stock in this offering at the assumed initial public offering price of $ per share, which is the midpoint of the estimated offering price range set forth on the cover page of this prospectus, and after deducting the estimated underwriting discounts</w:t>
      </w:r>
    </w:p>
    <w:p>
      <w:pPr>
        <w:spacing w:after="0" w:line="1" w:lineRule="exact"/>
        <w:rPr>
          <w:sz w:val="20"/>
          <w:szCs w:val="20"/>
          <w:color w:val="auto"/>
        </w:rPr>
      </w:pPr>
    </w:p>
    <w:p>
      <w:pPr>
        <w:ind w:left="2"/>
        <w:spacing w:after="0"/>
        <w:tabs>
          <w:tab w:leader="none" w:pos="9041" w:val="left"/>
        </w:tabs>
        <w:rPr>
          <w:sz w:val="20"/>
          <w:szCs w:val="20"/>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w:t>
      </w:r>
      <w:r>
        <w:rPr>
          <w:sz w:val="20"/>
          <w:szCs w:val="20"/>
          <w:color w:val="auto"/>
        </w:rPr>
        <w:tab/>
      </w:r>
      <w:r>
        <w:rPr>
          <w:rFonts w:ascii="Times New Roman" w:cs="Times New Roman" w:eastAsia="Times New Roman" w:hAnsi="Times New Roman"/>
          <w:sz w:val="16"/>
          <w:szCs w:val="16"/>
          <w:color w:val="auto"/>
        </w:rPr>
        <w:t>, 2024, would be approximately</w:t>
      </w:r>
    </w:p>
    <w:p>
      <w:pPr>
        <w:spacing w:after="0" w:line="12" w:lineRule="exact"/>
        <w:rPr>
          <w:sz w:val="20"/>
          <w:szCs w:val="20"/>
          <w:color w:val="auto"/>
        </w:rPr>
      </w:pPr>
    </w:p>
    <w:p>
      <w:pPr>
        <w:ind w:left="702" w:hanging="702"/>
        <w:spacing w:after="0"/>
        <w:tabs>
          <w:tab w:leader="none" w:pos="70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or approximately $per share of common stock. This represents an immediate increase in pro forma net tangible book value to our existing</w:t>
      </w:r>
    </w:p>
    <w:p>
      <w:pPr>
        <w:spacing w:after="0" w:line="12" w:lineRule="exact"/>
        <w:rPr>
          <w:sz w:val="20"/>
          <w:szCs w:val="20"/>
          <w:color w:val="auto"/>
        </w:rPr>
      </w:pPr>
    </w:p>
    <w:p>
      <w:pPr>
        <w:ind w:left="2"/>
        <w:spacing w:after="0"/>
        <w:tabs>
          <w:tab w:leader="none" w:pos="2541" w:val="left"/>
          <w:tab w:leader="none" w:pos="10501" w:val="left"/>
        </w:tabs>
        <w:rPr>
          <w:sz w:val="20"/>
          <w:szCs w:val="20"/>
          <w:color w:val="auto"/>
        </w:rPr>
      </w:pPr>
      <w:r>
        <w:rPr>
          <w:rFonts w:ascii="Times New Roman" w:cs="Times New Roman" w:eastAsia="Times New Roman" w:hAnsi="Times New Roman"/>
          <w:sz w:val="16"/>
          <w:szCs w:val="16"/>
          <w:color w:val="auto"/>
        </w:rPr>
        <w:t>stockholders of approximately $</w:t>
      </w:r>
      <w:r>
        <w:rPr>
          <w:sz w:val="20"/>
          <w:szCs w:val="20"/>
          <w:color w:val="auto"/>
        </w:rPr>
        <w:tab/>
      </w:r>
      <w:r>
        <w:rPr>
          <w:rFonts w:ascii="Times New Roman" w:cs="Times New Roman" w:eastAsia="Times New Roman" w:hAnsi="Times New Roman"/>
          <w:sz w:val="16"/>
          <w:szCs w:val="16"/>
          <w:color w:val="auto"/>
        </w:rPr>
        <w:t>per share and an immediate dilution to new investors purchasing common stock in this offering of approximately $</w:t>
      </w:r>
      <w:r>
        <w:rPr>
          <w:sz w:val="20"/>
          <w:szCs w:val="20"/>
          <w:color w:val="auto"/>
        </w:rPr>
        <w:tab/>
      </w:r>
      <w:r>
        <w:rPr>
          <w:rFonts w:ascii="Times New Roman" w:cs="Times New Roman" w:eastAsia="Times New Roman" w:hAnsi="Times New Roman"/>
          <w:sz w:val="16"/>
          <w:szCs w:val="16"/>
          <w:color w:val="auto"/>
        </w:rPr>
        <w:t>per share.</w:t>
      </w:r>
    </w:p>
    <w:p>
      <w:pPr>
        <w:spacing w:after="0" w:line="191" w:lineRule="exact"/>
        <w:rPr>
          <w:sz w:val="20"/>
          <w:szCs w:val="20"/>
          <w:color w:val="auto"/>
        </w:rPr>
      </w:pPr>
    </w:p>
    <w:p>
      <w:pPr>
        <w:jc w:val="both"/>
        <w:ind w:left="2" w:right="20"/>
        <w:spacing w:after="0" w:line="275" w:lineRule="auto"/>
        <w:rPr>
          <w:sz w:val="20"/>
          <w:szCs w:val="20"/>
          <w:color w:val="auto"/>
        </w:rPr>
      </w:pPr>
      <w:r>
        <w:rPr>
          <w:rFonts w:ascii="Times New Roman" w:cs="Times New Roman" w:eastAsia="Times New Roman" w:hAnsi="Times New Roman"/>
          <w:sz w:val="16"/>
          <w:szCs w:val="16"/>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on a per share basis (without giving effect to any exercise by the underwriters of their option to purchase additional shares):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Assumed initial public offering price per share</w:t>
            </w:r>
          </w:p>
        </w:tc>
        <w:tc>
          <w:tcPr>
            <w:tcW w:w="410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Pro forma net tangible book value per share as of</w:t>
            </w:r>
          </w:p>
        </w:tc>
        <w:tc>
          <w:tcPr>
            <w:tcW w:w="4100" w:type="dxa"/>
            <w:vAlign w:val="bottom"/>
          </w:tcPr>
          <w:p>
            <w:pPr>
              <w:jc w:val="right"/>
              <w:ind w:right="3398"/>
              <w:spacing w:after="0"/>
              <w:rPr>
                <w:sz w:val="20"/>
                <w:szCs w:val="20"/>
                <w:color w:val="auto"/>
              </w:rPr>
            </w:pPr>
            <w:r>
              <w:rPr>
                <w:rFonts w:ascii="Times New Roman" w:cs="Times New Roman" w:eastAsia="Times New Roman" w:hAnsi="Times New Roman"/>
                <w:sz w:val="16"/>
                <w:szCs w:val="16"/>
                <w:color w:val="auto"/>
              </w:rPr>
              <w:t>, 2024</w:t>
            </w:r>
          </w:p>
        </w:tc>
        <w:tc>
          <w:tcPr>
            <w:tcW w:w="2420" w:type="dxa"/>
            <w:vAlign w:val="bottom"/>
          </w:tcPr>
          <w:p>
            <w:pPr>
              <w:jc w:val="right"/>
              <w:ind w:right="117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pro forma net tangible book value per share attributable to new investors in this offering</w:t>
            </w:r>
          </w:p>
        </w:tc>
        <w:tc>
          <w:tcPr>
            <w:tcW w:w="2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8"/>
        </w:trPr>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 forma as adjusted net tangible book value per share after this offering</w:t>
            </w:r>
          </w:p>
        </w:tc>
        <w:tc>
          <w:tcPr>
            <w:tcW w:w="24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8"/>
        </w:trPr>
        <w:tc>
          <w:tcPr>
            <w:tcW w:w="35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Dilution per share to new investors in this offering</w:t>
            </w:r>
          </w:p>
        </w:tc>
        <w:tc>
          <w:tcPr>
            <w:tcW w:w="410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80" w:lineRule="exact"/>
        <w:rPr>
          <w:sz w:val="20"/>
          <w:szCs w:val="20"/>
          <w:color w:val="auto"/>
        </w:rPr>
      </w:pPr>
    </w:p>
    <w:p>
      <w:pPr>
        <w:jc w:val="both"/>
        <w:ind w:left="2" w:right="20"/>
        <w:spacing w:after="0" w:line="294" w:lineRule="auto"/>
        <w:rPr>
          <w:sz w:val="20"/>
          <w:szCs w:val="20"/>
          <w:color w:val="auto"/>
        </w:rPr>
      </w:pPr>
      <w:r>
        <w:rPr>
          <w:rFonts w:ascii="Times New Roman" w:cs="Times New Roman" w:eastAsia="Times New Roman" w:hAnsi="Times New Roman"/>
          <w:sz w:val="16"/>
          <w:szCs w:val="16"/>
          <w:color w:val="auto"/>
        </w:rPr>
        <w:t>The dilution information discussed above is illustrative only and will change based on the actual initial public offering price and other terms of this offering determined at pricing.</w:t>
      </w:r>
    </w:p>
    <w:p>
      <w:pPr>
        <w:spacing w:after="0" w:line="138" w:lineRule="exact"/>
        <w:rPr>
          <w:sz w:val="20"/>
          <w:szCs w:val="20"/>
          <w:color w:val="auto"/>
        </w:rPr>
      </w:pPr>
    </w:p>
    <w:p>
      <w:pPr>
        <w:ind w:left="2"/>
        <w:spacing w:after="0" w:line="263" w:lineRule="auto"/>
        <w:rPr>
          <w:sz w:val="20"/>
          <w:szCs w:val="20"/>
          <w:color w:val="auto"/>
        </w:rPr>
      </w:pPr>
      <w:r>
        <w:rPr>
          <w:rFonts w:ascii="Times New Roman" w:cs="Times New Roman" w:eastAsia="Times New Roman" w:hAnsi="Times New Roman"/>
          <w:sz w:val="16"/>
          <w:szCs w:val="16"/>
          <w:color w:val="auto"/>
        </w:rPr>
        <w:t>Each $1.00 increase (decrease) in the assumed initial public offering price of $ per share, which is the midpoint of the estimated offering price range set forth on the cover page of this prospectus, would increase (decrease) our pro forma as adjusted net tangible book value per share by approximately $ and the dilution in pro forma as adjusted net tangible book value per share to new investors in this offering by approximately $ , assuming (i) that the number of shares of common stock</w:t>
      </w:r>
    </w:p>
    <w:p>
      <w:pPr>
        <w:spacing w:after="0" w:line="2" w:lineRule="exact"/>
        <w:rPr>
          <w:sz w:val="20"/>
          <w:szCs w:val="20"/>
          <w:color w:val="auto"/>
        </w:rPr>
      </w:pPr>
    </w:p>
    <w:p>
      <w:pPr>
        <w:ind w:left="2" w:right="20"/>
        <w:spacing w:after="0" w:line="256" w:lineRule="auto"/>
        <w:rPr>
          <w:sz w:val="20"/>
          <w:szCs w:val="20"/>
          <w:color w:val="auto"/>
        </w:rPr>
      </w:pPr>
      <w:r>
        <w:rPr>
          <w:rFonts w:ascii="Times New Roman" w:cs="Times New Roman" w:eastAsia="Times New Roman" w:hAnsi="Times New Roman"/>
          <w:sz w:val="16"/>
          <w:szCs w:val="16"/>
          <w:color w:val="auto"/>
        </w:rPr>
        <w:t>offered by us, as set forth on the cover page of this prospectus, remains the same, (ii) that the number of shares outstanding immediately prior to this offering remains shares, and (iii) deduction of estimated underwriting discounts and commissions. Similarly, each increase (decrease) of 1.0 million shares in the number of shares of</w:t>
      </w:r>
    </w:p>
    <w:tbl>
      <w:tblPr>
        <w:tblLayout w:type="fixed"/>
        <w:tblInd w:w="2" w:type="dxa"/>
        <w:tblCellMar>
          <w:top w:w="0" w:type="dxa"/>
          <w:left w:w="0" w:type="dxa"/>
          <w:bottom w:w="0" w:type="dxa"/>
          <w:right w:w="0" w:type="dxa"/>
        </w:tblCellMar>
      </w:tblPr>
      <w:tr>
        <w:trPr>
          <w:trHeight w:val="179"/>
        </w:trPr>
        <w:tc>
          <w:tcPr>
            <w:tcW w:w="91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common stock offered by us would increase (decrease) our pro forma as adjusted net tangible book value per share by approximately $</w:t>
            </w:r>
          </w:p>
        </w:tc>
        <w:tc>
          <w:tcPr>
            <w:tcW w:w="20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and decrease the dilution in</w:t>
            </w: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pro forma as adjusted net tangible book value per share to new investors in this offering by approximately $</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assuming that the assumed initial public offering price</w:t>
            </w:r>
          </w:p>
        </w:tc>
      </w:tr>
      <w:tr>
        <w:trPr>
          <w:trHeight w:val="214"/>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remains the same, and after deducting estimated underwriting discounts and commissions.</w:t>
            </w:r>
          </w:p>
        </w:tc>
        <w:tc>
          <w:tcPr>
            <w:tcW w:w="18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593"/>
        </w:trPr>
        <w:tc>
          <w:tcPr>
            <w:tcW w:w="7380" w:type="dxa"/>
            <w:vAlign w:val="bottom"/>
            <w:tcBorders>
              <w:bottom w:val="single" w:sz="8" w:color="auto"/>
            </w:tcBorders>
          </w:tcPr>
          <w:p>
            <w:pPr>
              <w:jc w:val="right"/>
              <w:ind w:right="1558"/>
              <w:spacing w:after="0"/>
              <w:rPr>
                <w:sz w:val="20"/>
                <w:szCs w:val="20"/>
                <w:color w:val="auto"/>
              </w:rPr>
            </w:pPr>
            <w:r>
              <w:rPr>
                <w:rFonts w:ascii="Times New Roman" w:cs="Times New Roman" w:eastAsia="Times New Roman" w:hAnsi="Times New Roman"/>
                <w:sz w:val="16"/>
                <w:szCs w:val="16"/>
                <w:color w:val="auto"/>
              </w:rPr>
              <w:t>106</w:t>
            </w:r>
          </w:p>
        </w:tc>
        <w:tc>
          <w:tcPr>
            <w:tcW w:w="1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831" w:right="319" w:bottom="1440" w:gutter="0" w:footer="0" w:header="0"/>
        </w:sectPr>
      </w:pPr>
    </w:p>
    <w:bookmarkStart w:id="110" w:name="page111"/>
    <w:bookmarkEnd w:id="110"/>
    <w:p>
      <w:pPr>
        <w:ind w:left="2"/>
        <w:spacing w:after="0"/>
        <w:rPr>
          <w:sz w:val="20"/>
          <w:szCs w:val="20"/>
          <w:color w:val="auto"/>
        </w:rPr>
      </w:pPr>
      <w:r>
        <w:rPr>
          <w:rFonts w:ascii="Times New Roman" w:cs="Times New Roman" w:eastAsia="Times New Roman" w:hAnsi="Times New Roman"/>
          <w:sz w:val="16"/>
          <w:szCs w:val="16"/>
          <w:color w:val="auto"/>
        </w:rPr>
        <w:t>If the underwriters exercise their option to purchase additional shares of our common stock in full, the pro forma as adjusted net tangible book value per share after this</w:t>
      </w:r>
    </w:p>
    <w:p>
      <w:pPr>
        <w:spacing w:after="0" w:line="25"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offering would be $</w:t>
            </w:r>
          </w:p>
        </w:tc>
        <w:tc>
          <w:tcPr>
            <w:tcW w:w="818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 the increase in pro forma net tangible book value per share attributable to new investors in this offering would be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and the dilution per</w:t>
            </w:r>
          </w:p>
        </w:tc>
      </w:tr>
      <w:tr>
        <w:trPr>
          <w:trHeight w:val="196"/>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 to new investors in this offering would be $</w:t>
            </w:r>
          </w:p>
        </w:tc>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in each case assuming an initial public offering price of $</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per share, which is the midpoint of the offering</w:t>
            </w:r>
          </w:p>
        </w:tc>
      </w:tr>
      <w:tr>
        <w:trPr>
          <w:trHeight w:val="214"/>
        </w:trPr>
        <w:tc>
          <w:tcPr>
            <w:tcW w:w="7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price range set forth on the cover page of this prospectus.</w:t>
            </w:r>
          </w:p>
        </w:tc>
        <w:tc>
          <w:tcPr>
            <w:tcW w:w="18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93"/>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sets forth, as of</w:t>
            </w:r>
          </w:p>
        </w:tc>
        <w:tc>
          <w:tcPr>
            <w:tcW w:w="8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2024, on the pro forma as adjusted basis described above, the differences between the existing stockholders and the new</w:t>
            </w:r>
          </w:p>
        </w:tc>
      </w:tr>
    </w:tbl>
    <w:p>
      <w:pPr>
        <w:jc w:val="both"/>
        <w:ind w:left="2"/>
        <w:spacing w:after="0" w:line="256" w:lineRule="auto"/>
        <w:rPr>
          <w:sz w:val="20"/>
          <w:szCs w:val="20"/>
          <w:color w:val="auto"/>
        </w:rPr>
      </w:pPr>
      <w:r>
        <w:rPr>
          <w:rFonts w:ascii="Times New Roman" w:cs="Times New Roman" w:eastAsia="Times New Roman" w:hAnsi="Times New Roman"/>
          <w:sz w:val="16"/>
          <w:szCs w:val="16"/>
          <w:color w:val="auto"/>
        </w:rPr>
        <w:t>investors purchasing shares in this offering with respect to the number of shares of common stock purchased from us, the total consideration paid, which includes net proceeds received from the issuance of common stock, cash received from the exercise of stock options, and the value of any capital stock issued for services, and the average price per share of our common stock paid by existing stockholders. The calculation with respect to shares of common stock purchased by new investors in this</w:t>
      </w:r>
    </w:p>
    <w:p>
      <w:pPr>
        <w:jc w:val="both"/>
        <w:ind w:left="2"/>
        <w:spacing w:after="0" w:line="272" w:lineRule="auto"/>
        <w:rPr>
          <w:sz w:val="20"/>
          <w:szCs w:val="20"/>
          <w:color w:val="auto"/>
        </w:rPr>
      </w:pPr>
      <w:r>
        <w:rPr>
          <w:rFonts w:ascii="Times New Roman" w:cs="Times New Roman" w:eastAsia="Times New Roman" w:hAnsi="Times New Roman"/>
          <w:sz w:val="16"/>
          <w:szCs w:val="16"/>
          <w:color w:val="auto"/>
        </w:rPr>
        <w:t>offering reflects the issuance of shares of our common stock in this offering at an assumed initial public offering price of $ per share, which is the midpoint of the offering price range set forth on the cover page of this prospectus, before deducting underwriting discounts and commissions and estimated offering expenses payable by us.</w:t>
      </w:r>
    </w:p>
    <w:p>
      <w:pPr>
        <w:spacing w:after="0" w:line="347"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4"/>
            <w:vMerge w:val="restart"/>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60" w:type="dxa"/>
            <w:vAlign w:val="bottom"/>
          </w:tcPr>
          <w:p>
            <w:pPr>
              <w:spacing w:after="0"/>
              <w:rPr>
                <w:sz w:val="17"/>
                <w:szCs w:val="17"/>
                <w:color w:val="auto"/>
              </w:rPr>
            </w:pPr>
          </w:p>
        </w:tc>
        <w:tc>
          <w:tcPr>
            <w:tcW w:w="2480" w:type="dxa"/>
            <w:vAlign w:val="bottom"/>
            <w:gridSpan w:val="4"/>
            <w:vMerge w:val="restart"/>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6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w:t>
            </w:r>
          </w:p>
        </w:tc>
        <w:tc>
          <w:tcPr>
            <w:tcW w:w="272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share amounts, and percentages)</w:t>
            </w: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Existing stockholders</w:t>
            </w:r>
            <w:r>
              <w:rPr>
                <w:rFonts w:ascii="Times New Roman" w:cs="Times New Roman" w:eastAsia="Times New Roman" w:hAnsi="Times New Roman"/>
                <w:sz w:val="27"/>
                <w:szCs w:val="27"/>
                <w:color w:val="auto"/>
                <w:vertAlign w:val="superscript"/>
              </w:rPr>
              <w:t>(1)</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New investors</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2" w:hanging="302"/>
        <w:spacing w:after="0" w:line="199" w:lineRule="auto"/>
        <w:tabs>
          <w:tab w:leader="none" w:pos="302"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presentation in this table regarding ownership by existing stockholders does not give effect to any purchases that existing stockholders may otherwise purchase in this offering.</w:t>
      </w:r>
    </w:p>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If the underwriters exercise their option to purchase additional shares of our common stock in full, the number of shares of our common stock held by new investors will</w:t>
      </w:r>
    </w:p>
    <w:p>
      <w:pPr>
        <w:spacing w:after="0" w:line="30"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color w:val="auto"/>
        </w:rPr>
        <w:t>increase to</w:t>
      </w:r>
      <w:r>
        <w:rPr>
          <w:sz w:val="20"/>
          <w:szCs w:val="20"/>
          <w:color w:val="auto"/>
        </w:rPr>
        <w:tab/>
      </w:r>
      <w:r>
        <w:rPr>
          <w:rFonts w:ascii="Times New Roman" w:cs="Times New Roman" w:eastAsia="Times New Roman" w:hAnsi="Times New Roman"/>
          <w:sz w:val="16"/>
          <w:szCs w:val="16"/>
          <w:color w:val="auto"/>
        </w:rPr>
        <w:t>% of the total number of shares of our common stock outstanding after this offering.</w:t>
      </w:r>
    </w:p>
    <w:p>
      <w:pPr>
        <w:spacing w:after="0" w:line="191" w:lineRule="exact"/>
        <w:rPr>
          <w:sz w:val="20"/>
          <w:szCs w:val="20"/>
          <w:color w:val="auto"/>
        </w:rPr>
      </w:pPr>
    </w:p>
    <w:p>
      <w:pPr>
        <w:ind w:left="2"/>
        <w:spacing w:after="0"/>
        <w:tabs>
          <w:tab w:leader="none" w:pos="7281" w:val="left"/>
          <w:tab w:leader="none" w:pos="9261" w:val="left"/>
          <w:tab w:leader="none" w:pos="10821" w:val="left"/>
        </w:tabs>
        <w:rPr>
          <w:sz w:val="20"/>
          <w:szCs w:val="20"/>
          <w:color w:val="auto"/>
        </w:rPr>
      </w:pPr>
      <w:r>
        <w:rPr>
          <w:rFonts w:ascii="Times New Roman" w:cs="Times New Roman" w:eastAsia="Times New Roman" w:hAnsi="Times New Roman"/>
          <w:sz w:val="16"/>
          <w:szCs w:val="16"/>
          <w:color w:val="auto"/>
        </w:rPr>
        <w:t>The number of shares of common stock to be outstanding after this offering is based on an aggregate of</w:t>
      </w:r>
      <w:r>
        <w:rPr>
          <w:sz w:val="20"/>
          <w:szCs w:val="20"/>
          <w:color w:val="auto"/>
        </w:rPr>
        <w:tab/>
      </w:r>
      <w:r>
        <w:rPr>
          <w:rFonts w:ascii="Times New Roman" w:cs="Times New Roman" w:eastAsia="Times New Roman" w:hAnsi="Times New Roman"/>
          <w:sz w:val="16"/>
          <w:szCs w:val="16"/>
          <w:color w:val="auto"/>
        </w:rPr>
        <w:t>shares outstanding as of</w:t>
      </w:r>
      <w:r>
        <w:rPr>
          <w:sz w:val="20"/>
          <w:szCs w:val="20"/>
          <w:color w:val="auto"/>
        </w:rPr>
        <w:tab/>
      </w:r>
      <w:r>
        <w:rPr>
          <w:rFonts w:ascii="Times New Roman" w:cs="Times New Roman" w:eastAsia="Times New Roman" w:hAnsi="Times New Roman"/>
          <w:sz w:val="16"/>
          <w:szCs w:val="16"/>
          <w:color w:val="auto"/>
        </w:rPr>
        <w:t>, 2024 (including</w:t>
      </w:r>
      <w:r>
        <w:rPr>
          <w:sz w:val="20"/>
          <w:szCs w:val="20"/>
          <w:color w:val="auto"/>
        </w:rPr>
        <w:tab/>
      </w:r>
      <w:r>
        <w:rPr>
          <w:rFonts w:ascii="Times New Roman" w:cs="Times New Roman" w:eastAsia="Times New Roman" w:hAnsi="Times New Roman"/>
          <w:sz w:val="16"/>
          <w:szCs w:val="16"/>
          <w:color w:val="auto"/>
        </w:rPr>
        <w:t>shares</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of our common stock to be issued upon the conversion of convertible promissory notes immediately prior to the completion of this offering (based upon the assumed initial</w:t>
      </w:r>
    </w:p>
    <w:p>
      <w:pPr>
        <w:spacing w:after="0" w:line="363" w:lineRule="exact"/>
        <w:rPr>
          <w:sz w:val="20"/>
          <w:szCs w:val="20"/>
          <w:color w:val="auto"/>
        </w:rPr>
      </w:pPr>
    </w:p>
    <w:p>
      <w:pPr>
        <w:ind w:left="2"/>
        <w:spacing w:after="0" w:line="294" w:lineRule="auto"/>
        <w:rPr>
          <w:sz w:val="20"/>
          <w:szCs w:val="20"/>
          <w:color w:val="auto"/>
        </w:rPr>
      </w:pPr>
      <w:r>
        <w:rPr>
          <w:rFonts w:ascii="Times New Roman" w:cs="Times New Roman" w:eastAsia="Times New Roman" w:hAnsi="Times New Roman"/>
          <w:sz w:val="16"/>
          <w:szCs w:val="16"/>
          <w:color w:val="auto"/>
        </w:rPr>
        <w:t>public offering price of $ per share, which is the midpoint of the estimated offering price range set forth on the cover page of this prospectus)) on a pro forma basis, which includes shares to be sold by us in the offering, but excludes:</w:t>
      </w:r>
    </w:p>
    <w:p>
      <w:pPr>
        <w:spacing w:after="0" w:line="138" w:lineRule="exact"/>
        <w:rPr>
          <w:sz w:val="20"/>
          <w:szCs w:val="20"/>
          <w:color w:val="auto"/>
        </w:rPr>
      </w:pPr>
    </w:p>
    <w:p>
      <w:pPr>
        <w:ind w:left="1342" w:hanging="753"/>
        <w:spacing w:after="0"/>
        <w:tabs>
          <w:tab w:leader="none" w:pos="134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issuable upon the exercise of stock options outstanding that were subject to options originally granted under the Serve’s 2021</w:t>
      </w:r>
    </w:p>
    <w:p>
      <w:pPr>
        <w:spacing w:after="0" w:line="30" w:lineRule="exact"/>
        <w:rPr>
          <w:sz w:val="20"/>
          <w:szCs w:val="20"/>
          <w:color w:val="auto"/>
        </w:rPr>
      </w:pPr>
    </w:p>
    <w:p>
      <w:pPr>
        <w:ind w:left="882"/>
        <w:spacing w:after="0"/>
        <w:tabs>
          <w:tab w:leader="none" w:pos="4941" w:val="left"/>
        </w:tabs>
        <w:rPr>
          <w:sz w:val="20"/>
          <w:szCs w:val="20"/>
          <w:color w:val="auto"/>
        </w:rPr>
      </w:pPr>
      <w:r>
        <w:rPr>
          <w:rFonts w:ascii="Times New Roman" w:cs="Times New Roman" w:eastAsia="Times New Roman" w:hAnsi="Times New Roman"/>
          <w:sz w:val="16"/>
          <w:szCs w:val="16"/>
          <w:color w:val="auto"/>
        </w:rPr>
        <w:t>Stock Plan, with a weighted-average exercise price of $</w:t>
      </w:r>
      <w:r>
        <w:rPr>
          <w:sz w:val="20"/>
          <w:szCs w:val="20"/>
          <w:color w:val="auto"/>
        </w:rPr>
        <w:tab/>
      </w:r>
      <w:r>
        <w:rPr>
          <w:rFonts w:ascii="Times New Roman" w:cs="Times New Roman" w:eastAsia="Times New Roman" w:hAnsi="Times New Roman"/>
          <w:sz w:val="16"/>
          <w:szCs w:val="16"/>
          <w:color w:val="auto"/>
        </w:rPr>
        <w:t>per share;</w:t>
      </w:r>
    </w:p>
    <w:p>
      <w:pPr>
        <w:spacing w:after="0" w:line="3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111" w:name="page112"/>
    <w:bookmarkEnd w:id="111"/>
    <w:tbl>
      <w:tblPr>
        <w:tblLayout w:type="fixed"/>
        <w:tblInd w:w="580" w:type="dxa"/>
        <w:tblCellMar>
          <w:top w:w="0" w:type="dxa"/>
          <w:left w:w="0" w:type="dxa"/>
          <w:bottom w:w="0" w:type="dxa"/>
          <w:right w:w="0" w:type="dxa"/>
        </w:tblCellMar>
      </w:tblPr>
      <w:tr>
        <w:trPr>
          <w:trHeight w:val="214"/>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outstanding Bridge Warrants to purchase an aggregate of</w:t>
            </w:r>
          </w:p>
        </w:tc>
        <w:tc>
          <w:tcPr>
            <w:tcW w:w="418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 share as of</w:t>
            </w:r>
          </w:p>
        </w:tc>
        <w:tc>
          <w:tcPr>
            <w:tcW w:w="600" w:type="dxa"/>
            <w:vAlign w:val="bottom"/>
          </w:tcPr>
          <w:p>
            <w:pPr>
              <w:jc w:val="right"/>
              <w:ind w:right="33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r>
      <w:tr>
        <w:trPr>
          <w:trHeight w:val="39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outstanding Bridge Broker Warrants to purchase an aggregate of</w:t>
            </w: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122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per share as of</w:t>
            </w:r>
          </w:p>
        </w:tc>
        <w:tc>
          <w:tcPr>
            <w:tcW w:w="4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outstanding Placement Agent A Warrants to purchase an aggregate of</w:t>
            </w:r>
          </w:p>
        </w:tc>
        <w:tc>
          <w:tcPr>
            <w:tcW w:w="46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per share as of</w:t>
            </w:r>
          </w:p>
        </w:tc>
      </w:tr>
      <w:tr>
        <w:trPr>
          <w:trHeight w:val="214"/>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tcPr>
          <w:p>
            <w:pPr>
              <w:jc w:val="right"/>
              <w:ind w:right="293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outstanding Placement Agent B Warrants to purchase an aggregate of</w:t>
            </w:r>
          </w:p>
        </w:tc>
        <w:tc>
          <w:tcPr>
            <w:tcW w:w="4620" w:type="dxa"/>
            <w:vAlign w:val="bottom"/>
            <w:gridSpan w:val="5"/>
          </w:tcPr>
          <w:p>
            <w:pPr>
              <w:ind w:left="580"/>
              <w:spacing w:after="0"/>
              <w:rPr>
                <w:sz w:val="20"/>
                <w:szCs w:val="20"/>
                <w:color w:val="auto"/>
              </w:rPr>
            </w:pPr>
            <w:r>
              <w:rPr>
                <w:rFonts w:ascii="Times New Roman" w:cs="Times New Roman" w:eastAsia="Times New Roman" w:hAnsi="Times New Roman"/>
                <w:sz w:val="16"/>
                <w:szCs w:val="16"/>
                <w:color w:val="auto"/>
              </w:rPr>
              <w:t>shares of our common stock with an exercise price of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per share as</w:t>
            </w:r>
          </w:p>
        </w:tc>
      </w:tr>
      <w:tr>
        <w:trPr>
          <w:trHeight w:val="214"/>
        </w:trPr>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3200" w:type="dxa"/>
            <w:vAlign w:val="bottom"/>
          </w:tcPr>
          <w:p>
            <w:pPr>
              <w:jc w:val="right"/>
              <w:ind w:right="27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outstanding warrants to purchase an aggregate of</w:t>
            </w:r>
          </w:p>
        </w:tc>
        <w:tc>
          <w:tcPr>
            <w:tcW w:w="24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shares of our common stock at the exercise price of $</w:t>
            </w:r>
          </w:p>
        </w:tc>
        <w:tc>
          <w:tcPr>
            <w:tcW w:w="3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per share as of assumed by us in connection</w:t>
            </w:r>
          </w:p>
        </w:tc>
      </w:tr>
      <w:tr>
        <w:trPr>
          <w:trHeight w:val="214"/>
        </w:trPr>
        <w:tc>
          <w:tcPr>
            <w:tcW w:w="20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with the Merger;</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9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outstanding warrant to purchase an aggregate of</w:t>
            </w:r>
          </w:p>
        </w:tc>
        <w:tc>
          <w:tcPr>
            <w:tcW w:w="38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shares of our common stock at the exercise price of $</w:t>
            </w:r>
          </w:p>
        </w:tc>
        <w:tc>
          <w:tcPr>
            <w:tcW w:w="2620" w:type="dxa"/>
            <w:vAlign w:val="bottom"/>
            <w:gridSpan w:val="4"/>
          </w:tcPr>
          <w:p>
            <w:pPr>
              <w:jc w:val="right"/>
              <w:ind w:right="378"/>
              <w:spacing w:after="0"/>
              <w:rPr>
                <w:sz w:val="20"/>
                <w:szCs w:val="20"/>
                <w:color w:val="auto"/>
              </w:rPr>
            </w:pPr>
            <w:r>
              <w:rPr>
                <w:rFonts w:ascii="Times New Roman" w:cs="Times New Roman" w:eastAsia="Times New Roman" w:hAnsi="Times New Roman"/>
                <w:sz w:val="16"/>
                <w:szCs w:val="16"/>
                <w:color w:val="auto"/>
              </w:rPr>
              <w:t>per share as of issued to Magna;</w:t>
            </w:r>
          </w:p>
        </w:tc>
        <w:tc>
          <w:tcPr>
            <w:tcW w:w="460" w:type="dxa"/>
            <w:vAlign w:val="bottom"/>
          </w:tcPr>
          <w:p>
            <w:pPr>
              <w:spacing w:after="0"/>
              <w:rPr>
                <w:sz w:val="24"/>
                <w:szCs w:val="24"/>
                <w:color w:val="auto"/>
              </w:rPr>
            </w:pPr>
          </w:p>
        </w:tc>
      </w:tr>
      <w:tr>
        <w:trPr>
          <w:trHeight w:val="375"/>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9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Convertible Promissory Notes Offering Warrants to purchase an aggregate of shares</w:t>
            </w:r>
          </w:p>
        </w:tc>
        <w:tc>
          <w:tcPr>
            <w:tcW w:w="346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of our common stock at the exercise price of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per share as</w:t>
            </w:r>
          </w:p>
        </w:tc>
      </w:tr>
      <w:tr>
        <w:trPr>
          <w:trHeight w:val="214"/>
        </w:trPr>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3200" w:type="dxa"/>
            <w:vAlign w:val="bottom"/>
          </w:tcPr>
          <w:p>
            <w:pPr>
              <w:jc w:val="center"/>
              <w:ind w:right="2438"/>
              <w:spacing w:after="0"/>
              <w:rPr>
                <w:sz w:val="20"/>
                <w:szCs w:val="20"/>
                <w:color w:val="auto"/>
              </w:rPr>
            </w:pPr>
            <w:r>
              <w:rPr>
                <w:rFonts w:ascii="Times New Roman" w:cs="Times New Roman" w:eastAsia="Times New Roman" w:hAnsi="Times New Roman"/>
                <w:sz w:val="16"/>
                <w:szCs w:val="16"/>
                <w:color w:val="auto"/>
              </w:rPr>
              <w:t>; 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9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Underwriter’s Warrants to purchase an aggregate of</w:t>
            </w:r>
          </w:p>
        </w:tc>
        <w:tc>
          <w:tcPr>
            <w:tcW w:w="240" w:type="dxa"/>
            <w:vAlign w:val="bottom"/>
          </w:tcPr>
          <w:p>
            <w:pPr>
              <w:spacing w:after="0"/>
              <w:rPr>
                <w:sz w:val="24"/>
                <w:szCs w:val="24"/>
                <w:color w:val="auto"/>
              </w:rPr>
            </w:pPr>
          </w:p>
        </w:tc>
        <w:tc>
          <w:tcPr>
            <w:tcW w:w="496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shares of our common stock to be issued in connection with this offering.</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as otherwise indicated, all information in this prospectus assumes:</w:t>
      </w:r>
    </w:p>
    <w:p>
      <w:pPr>
        <w:spacing w:after="0" w:line="209" w:lineRule="exact"/>
        <w:rPr>
          <w:sz w:val="20"/>
          <w:szCs w:val="20"/>
          <w:color w:val="auto"/>
        </w:rPr>
      </w:pPr>
    </w:p>
    <w:p>
      <w:pPr>
        <w:ind w:left="880" w:hanging="293"/>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automatic conversion of our convertible promissory notes into of common stock immediately prior to the completion of this offering;</w:t>
      </w:r>
    </w:p>
    <w:p>
      <w:pPr>
        <w:spacing w:after="0" w:line="208" w:lineRule="exact"/>
        <w:rPr>
          <w:rFonts w:ascii="Times New Roman" w:cs="Times New Roman" w:eastAsia="Times New Roman" w:hAnsi="Times New Roman"/>
          <w:sz w:val="16"/>
          <w:szCs w:val="16"/>
          <w:color w:val="auto"/>
        </w:rPr>
      </w:pPr>
    </w:p>
    <w:p>
      <w:pPr>
        <w:ind w:left="880" w:hanging="293"/>
        <w:spacing w:after="0" w:line="267"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or cancellation of other outstanding options and warrants or settlement of outstanding restricted stock awards subsequent to December 31, 2023; and</w:t>
      </w:r>
    </w:p>
    <w:p>
      <w:pPr>
        <w:spacing w:after="0" w:line="384"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exercise of the underwriters’ over-allotment option.</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To the extent that any outstanding options or warrants are exercised, outstanding restricted stock units settle, new options or other securities are issued under our equity incentive plans, or we issue additional shares of common stock, other equity securities or convertible debt securities in the future, investors participating in this offering will experience further dilution.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6"/>
          <w:szCs w:val="16"/>
          <w:b w:val="1"/>
          <w:bCs w:val="1"/>
          <w:color w:val="auto"/>
        </w:rPr>
        <w:t>MARKET INFORMATION FOR OUR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public market currently exists for our common stock. In connection with this offering, we have applied to list our common stock on The Nasdaq Stock Market under the</w:t>
      </w:r>
    </w:p>
    <w:p>
      <w:pPr>
        <w:spacing w:after="0" w:line="3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symbol “ .” No assurance can be given that our application will be approved. If our common stock is not approved for listing on The Nasdaq Stock Market, we will not consummate this offering.</w:t>
      </w:r>
    </w:p>
    <w:p>
      <w:pPr>
        <w:spacing w:after="0" w:line="155" w:lineRule="exact"/>
        <w:rPr>
          <w:sz w:val="20"/>
          <w:szCs w:val="20"/>
          <w:color w:val="auto"/>
        </w:rPr>
      </w:pPr>
    </w:p>
    <w:p>
      <w:pPr>
        <w:spacing w:after="0"/>
        <w:tabs>
          <w:tab w:leader="none" w:pos="1860" w:val="left"/>
          <w:tab w:leader="none" w:pos="6160" w:val="left"/>
        </w:tabs>
        <w:rPr>
          <w:sz w:val="20"/>
          <w:szCs w:val="20"/>
          <w:color w:val="auto"/>
        </w:rPr>
      </w:pPr>
      <w:r>
        <w:rPr>
          <w:rFonts w:ascii="Times New Roman" w:cs="Times New Roman" w:eastAsia="Times New Roman" w:hAnsi="Times New Roman"/>
          <w:sz w:val="16"/>
          <w:szCs w:val="16"/>
          <w:color w:val="auto"/>
        </w:rPr>
        <w:t>As of , 2024, we have</w:t>
      </w:r>
      <w:r>
        <w:rPr>
          <w:sz w:val="20"/>
          <w:szCs w:val="20"/>
          <w:color w:val="auto"/>
        </w:rPr>
        <w:tab/>
      </w:r>
      <w:r>
        <w:rPr>
          <w:rFonts w:ascii="Times New Roman" w:cs="Times New Roman" w:eastAsia="Times New Roman" w:hAnsi="Times New Roman"/>
          <w:sz w:val="16"/>
          <w:szCs w:val="16"/>
          <w:color w:val="auto"/>
        </w:rPr>
        <w:t>shares of common stock outstanding held by approximately</w:t>
      </w:r>
      <w:r>
        <w:rPr>
          <w:sz w:val="20"/>
          <w:szCs w:val="20"/>
          <w:color w:val="auto"/>
        </w:rPr>
        <w:tab/>
      </w:r>
      <w:r>
        <w:rPr>
          <w:rFonts w:ascii="Times New Roman" w:cs="Times New Roman" w:eastAsia="Times New Roman" w:hAnsi="Times New Roman"/>
          <w:sz w:val="16"/>
          <w:szCs w:val="16"/>
          <w:color w:val="auto"/>
        </w:rPr>
        <w:t>stockholders of record.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13" w:name="page114"/>
    <w:bookmarkEnd w:id="113"/>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STOCKHOLDERS</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sets forth certain information with respect to the beneficial ownership of our common stock as of by:</w:t>
      </w:r>
    </w:p>
    <w:p>
      <w:pPr>
        <w:spacing w:after="0" w:line="209" w:lineRule="exact"/>
        <w:rPr>
          <w:sz w:val="20"/>
          <w:szCs w:val="20"/>
          <w:color w:val="auto"/>
        </w:rPr>
      </w:pPr>
    </w:p>
    <w:p>
      <w:pPr>
        <w:ind w:left="882" w:hanging="293"/>
        <w:spacing w:after="0"/>
        <w:tabs>
          <w:tab w:leader="none" w:pos="88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w:t>
      </w:r>
    </w:p>
    <w:p>
      <w:pPr>
        <w:spacing w:after="0" w:line="208" w:lineRule="exact"/>
        <w:rPr>
          <w:rFonts w:ascii="Times New Roman" w:cs="Times New Roman" w:eastAsia="Times New Roman" w:hAnsi="Times New Roman"/>
          <w:sz w:val="16"/>
          <w:szCs w:val="16"/>
          <w:color w:val="auto"/>
        </w:rPr>
      </w:pPr>
    </w:p>
    <w:p>
      <w:pPr>
        <w:ind w:left="882" w:hanging="293"/>
        <w:spacing w:after="0"/>
        <w:tabs>
          <w:tab w:leader="none" w:pos="88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w:t>
      </w:r>
    </w:p>
    <w:p>
      <w:pPr>
        <w:spacing w:after="0" w:line="208" w:lineRule="exact"/>
        <w:rPr>
          <w:rFonts w:ascii="Times New Roman" w:cs="Times New Roman" w:eastAsia="Times New Roman" w:hAnsi="Times New Roman"/>
          <w:sz w:val="16"/>
          <w:szCs w:val="16"/>
          <w:color w:val="auto"/>
        </w:rPr>
      </w:pPr>
    </w:p>
    <w:p>
      <w:pPr>
        <w:ind w:left="882" w:hanging="293"/>
        <w:spacing w:after="0"/>
        <w:tabs>
          <w:tab w:leader="none" w:pos="88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current directors and executive officers as a group; and</w:t>
      </w:r>
    </w:p>
    <w:p>
      <w:pPr>
        <w:spacing w:after="0" w:line="208" w:lineRule="exact"/>
        <w:rPr>
          <w:rFonts w:ascii="Times New Roman" w:cs="Times New Roman" w:eastAsia="Times New Roman" w:hAnsi="Times New Roman"/>
          <w:sz w:val="16"/>
          <w:szCs w:val="16"/>
          <w:color w:val="auto"/>
        </w:rPr>
      </w:pPr>
    </w:p>
    <w:p>
      <w:pPr>
        <w:ind w:left="882" w:hanging="293"/>
        <w:spacing w:after="0"/>
        <w:tabs>
          <w:tab w:leader="none" w:pos="88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of affiliated persons, who beneficially owned more than 5% of our common stock.</w:t>
      </w:r>
    </w:p>
    <w:p>
      <w:pPr>
        <w:spacing w:after="0" w:line="209"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53"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color w:val="auto"/>
        </w:rPr>
        <w:t>The percentage of shares beneficially owned is computed on the basis of shares of common stock outstanding as of , 2024 (including shares of our common stock to be issued upon the conversion of convertible promissory notes immediately prior to the completion of this offering (based upon the assumed initial public offering</w:t>
      </w:r>
    </w:p>
    <w:p>
      <w:pPr>
        <w:spacing w:after="0" w:line="1"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6"/>
          <w:szCs w:val="16"/>
          <w:color w:val="auto"/>
        </w:rPr>
        <w:t>price of $ per share, which is the midpoint of the estimated offering price range set forth on the cover page of this prospectus)), after giving effect to this offering. Shares of common stock that a person has the right to acquire within 60 days of , 2024 are deemed outstanding for purposes of computing the percentage ownership</w:t>
      </w: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of the person holding such rights, but are not deemed outstanding for purposes of computing the percentage ownership of any other person, except with respect to the percentage ownership of all directors and executive officers as a group. Unless otherwise indicated, the address of each beneficial owner in the table below is c/o Serve Robotics Inc., 730 Broadway, Redwood City, CA 94063.</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ofCommon</w:t>
            </w: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 Common</w:t>
            </w: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 Beneficially</w:t>
            </w: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Beneficially</w:t>
            </w: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 of Common</w:t>
            </w:r>
          </w:p>
        </w:tc>
        <w:tc>
          <w:tcPr>
            <w:tcW w:w="26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Owned After the Offering</w:t>
            </w: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Owned After the Offering</w:t>
            </w: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 Beneficially</w:t>
            </w: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 Exercise</w:t>
            </w:r>
          </w:p>
        </w:tc>
        <w:tc>
          <w:tcPr>
            <w:tcW w:w="25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(Full Exercise</w:t>
            </w: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Owned Prior to the</w:t>
            </w: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Over-Allotment</w:t>
            </w:r>
          </w:p>
        </w:tc>
        <w:tc>
          <w:tcPr>
            <w:tcW w:w="25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Over-Allotment</w:t>
            </w:r>
          </w:p>
        </w:tc>
      </w:tr>
      <w:tr>
        <w:trPr>
          <w:trHeight w:val="221"/>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40" w:type="dxa"/>
            <w:vAlign w:val="bottom"/>
            <w:gridSpan w:val="4"/>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900" w:type="dxa"/>
            <w:vAlign w:val="bottom"/>
          </w:tcPr>
          <w:p>
            <w:pPr>
              <w:spacing w:after="0"/>
              <w:rPr>
                <w:sz w:val="19"/>
                <w:szCs w:val="19"/>
                <w:color w:val="auto"/>
              </w:rPr>
            </w:pPr>
          </w:p>
        </w:tc>
        <w:tc>
          <w:tcPr>
            <w:tcW w:w="1760" w:type="dxa"/>
            <w:vAlign w:val="bottom"/>
            <w:gridSpan w:val="4"/>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900" w:type="dxa"/>
            <w:vAlign w:val="bottom"/>
          </w:tcPr>
          <w:p>
            <w:pPr>
              <w:spacing w:after="0"/>
              <w:rPr>
                <w:sz w:val="19"/>
                <w:szCs w:val="19"/>
                <w:color w:val="auto"/>
              </w:rPr>
            </w:pPr>
          </w:p>
        </w:tc>
        <w:tc>
          <w:tcPr>
            <w:tcW w:w="1660" w:type="dxa"/>
            <w:vAlign w:val="bottom"/>
            <w:gridSpan w:val="4"/>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Option)</w:t>
            </w:r>
          </w:p>
        </w:tc>
      </w:tr>
      <w:tr>
        <w:trPr>
          <w:trHeight w:val="213"/>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40" w:type="dxa"/>
            <w:vAlign w:val="bottom"/>
          </w:tcPr>
          <w:p>
            <w:pPr>
              <w:spacing w:after="0"/>
              <w:rPr>
                <w:sz w:val="18"/>
                <w:szCs w:val="18"/>
                <w:color w:val="auto"/>
              </w:rPr>
            </w:pPr>
          </w:p>
        </w:tc>
        <w:tc>
          <w:tcPr>
            <w:tcW w:w="9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8"/>
                <w:szCs w:val="18"/>
                <w:color w:val="auto"/>
              </w:rPr>
            </w:pPr>
          </w:p>
        </w:tc>
        <w:tc>
          <w:tcPr>
            <w:tcW w:w="9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8"/>
                <w:szCs w:val="18"/>
                <w:color w:val="auto"/>
              </w:rPr>
            </w:pPr>
          </w:p>
        </w:tc>
      </w:tr>
      <w:tr>
        <w:trPr>
          <w:trHeight w:val="19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145020" cy="1244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5020" cy="1244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145415</wp:posOffset>
            </wp:positionV>
            <wp:extent cx="7145020" cy="1244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5020" cy="1244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45020" cy="1244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020" cy="1244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643890</wp:posOffset>
            </wp:positionV>
            <wp:extent cx="7145020" cy="1244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020" cy="1244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893445</wp:posOffset>
            </wp:positionV>
            <wp:extent cx="7145020" cy="1244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020"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directors and executive officers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145020" cy="2495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5020" cy="249555"/>
                    </a:xfrm>
                    <a:prstGeom prst="rect">
                      <a:avLst/>
                    </a:prstGeom>
                    <a:noFill/>
                  </pic:spPr>
                </pic:pic>
              </a:graphicData>
            </a:graphic>
          </wp:anchor>
        </w:drawing>
      </w:r>
    </w:p>
    <w:p>
      <w:pPr>
        <w:spacing w:after="0" w:line="14" w:lineRule="exact"/>
        <w:rPr>
          <w:sz w:val="20"/>
          <w:szCs w:val="20"/>
          <w:color w:val="auto"/>
        </w:rPr>
      </w:pPr>
    </w:p>
    <w:p>
      <w:pPr>
        <w:ind w:left="142"/>
        <w:spacing w:after="0"/>
        <w:tabs>
          <w:tab w:leader="none" w:pos="1001" w:val="left"/>
        </w:tabs>
        <w:rPr>
          <w:sz w:val="20"/>
          <w:szCs w:val="20"/>
          <w:color w:val="auto"/>
        </w:rPr>
      </w:pPr>
      <w:r>
        <w:rPr>
          <w:rFonts w:ascii="Times New Roman" w:cs="Times New Roman" w:eastAsia="Times New Roman" w:hAnsi="Times New Roman"/>
          <w:sz w:val="16"/>
          <w:szCs w:val="16"/>
          <w:b w:val="1"/>
          <w:bCs w:val="1"/>
          <w:color w:val="auto"/>
        </w:rPr>
        <w:t>group (</w:t>
      </w:r>
      <w:r>
        <w:rPr>
          <w:sz w:val="20"/>
          <w:szCs w:val="20"/>
          <w:color w:val="auto"/>
        </w:rPr>
        <w:tab/>
      </w:r>
      <w:r>
        <w:rPr>
          <w:rFonts w:ascii="Times New Roman" w:cs="Times New Roman" w:eastAsia="Times New Roman" w:hAnsi="Times New Roman"/>
          <w:sz w:val="16"/>
          <w:szCs w:val="16"/>
          <w:b w:val="1"/>
          <w:bCs w:val="1"/>
          <w:color w:val="auto"/>
        </w:rPr>
        <w:t>persons)</w:t>
      </w:r>
    </w:p>
    <w:p>
      <w:pPr>
        <w:spacing w:after="0" w:line="191" w:lineRule="exact"/>
        <w:rPr>
          <w:sz w:val="20"/>
          <w:szCs w:val="20"/>
          <w:color w:val="auto"/>
        </w:rPr>
      </w:pPr>
    </w:p>
    <w:p>
      <w:pPr>
        <w:ind w:left="302" w:hanging="302"/>
        <w:spacing w:after="0"/>
        <w:tabs>
          <w:tab w:leader="none" w:pos="302"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1" w:right="339" w:bottom="1440"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spacing w:after="0" w:line="15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We have authorized capital stock consisting of 300,000,000 shares of common stock, par value $0.0001 per share, and 10,000,000 shares of preferred stock, par value $0.0001 per share.</w:t>
      </w:r>
    </w:p>
    <w:p>
      <w:pPr>
        <w:spacing w:after="0" w:line="13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As of September 30, 2023, we had 24,689,283 shares of common stock issued and outstanding, and no shares of preferred stock issued and outstanding. Unless stated otherwise, the following discussion summarizes the term and provisions of our amended and restated certificate of incorporation and our amended and restated bylaws.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Rights</w:t>
      </w:r>
    </w:p>
    <w:p>
      <w:pPr>
        <w:spacing w:after="0" w:line="21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Preemptive or Similar Rights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common stock is not entitled to preemptive rights and is not subject to conversion, redemption or sinking fund provisions.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Right to Receive Liquidation Distributions</w:t>
      </w:r>
    </w:p>
    <w:p>
      <w:pPr>
        <w:spacing w:after="0" w:line="21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115" w:name="page116"/>
    <w:bookmarkEnd w:id="115"/>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213" w:lineRule="exact"/>
        <w:rPr>
          <w:sz w:val="20"/>
          <w:szCs w:val="20"/>
          <w:color w:val="auto"/>
        </w:rPr>
      </w:pPr>
    </w:p>
    <w:p>
      <w:pPr>
        <w:ind w:left="2"/>
        <w:spacing w:after="0"/>
        <w:tabs>
          <w:tab w:leader="none" w:pos="6441" w:val="left"/>
        </w:tabs>
        <w:rPr>
          <w:sz w:val="20"/>
          <w:szCs w:val="20"/>
          <w:color w:val="auto"/>
        </w:rPr>
      </w:pPr>
      <w:r>
        <w:rPr>
          <w:rFonts w:ascii="Times New Roman" w:cs="Times New Roman" w:eastAsia="Times New Roman" w:hAnsi="Times New Roman"/>
          <w:sz w:val="16"/>
          <w:szCs w:val="16"/>
          <w:color w:val="auto"/>
        </w:rPr>
        <w:t>As of September 30, 2023, we had outstanding stock options to purchase an aggregate of</w:t>
      </w:r>
      <w:r>
        <w:rPr>
          <w:sz w:val="20"/>
          <w:szCs w:val="20"/>
          <w:color w:val="auto"/>
        </w:rPr>
        <w:tab/>
      </w:r>
      <w:r>
        <w:rPr>
          <w:rFonts w:ascii="Times New Roman" w:cs="Times New Roman" w:eastAsia="Times New Roman" w:hAnsi="Times New Roman"/>
          <w:sz w:val="16"/>
          <w:szCs w:val="16"/>
          <w:color w:val="auto"/>
        </w:rPr>
        <w:t>shares of our common stock, with a weighted-average exercise price of</w:t>
      </w:r>
    </w:p>
    <w:p>
      <w:pPr>
        <w:spacing w:after="0" w:line="30" w:lineRule="exact"/>
        <w:rPr>
          <w:sz w:val="20"/>
          <w:szCs w:val="20"/>
          <w:color w:val="auto"/>
        </w:rPr>
      </w:pPr>
    </w:p>
    <w:p>
      <w:pPr>
        <w:ind w:left="442" w:hanging="442"/>
        <w:spacing w:after="0"/>
        <w:tabs>
          <w:tab w:leader="none" w:pos="44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under the 2023 Plan.</w:t>
      </w:r>
    </w:p>
    <w:p>
      <w:pPr>
        <w:spacing w:after="0" w:line="1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213" w:lineRule="exact"/>
        <w:rPr>
          <w:sz w:val="20"/>
          <w:szCs w:val="20"/>
          <w:color w:val="auto"/>
        </w:rPr>
      </w:pPr>
    </w:p>
    <w:p>
      <w:pPr>
        <w:ind w:left="2"/>
        <w:spacing w:after="0"/>
        <w:tabs>
          <w:tab w:leader="none" w:pos="6361" w:val="left"/>
        </w:tabs>
        <w:rPr>
          <w:sz w:val="20"/>
          <w:szCs w:val="20"/>
          <w:color w:val="auto"/>
        </w:rPr>
      </w:pPr>
      <w:r>
        <w:rPr>
          <w:rFonts w:ascii="Times New Roman" w:cs="Times New Roman" w:eastAsia="Times New Roman" w:hAnsi="Times New Roman"/>
          <w:sz w:val="16"/>
          <w:szCs w:val="16"/>
          <w:color w:val="auto"/>
        </w:rPr>
        <w:t>As of September 30, 2023, we had outstanding warrants to purchase an aggregate of</w:t>
      </w:r>
      <w:r>
        <w:rPr>
          <w:sz w:val="20"/>
          <w:szCs w:val="20"/>
          <w:color w:val="auto"/>
        </w:rPr>
        <w:tab/>
      </w:r>
      <w:r>
        <w:rPr>
          <w:rFonts w:ascii="Times New Roman" w:cs="Times New Roman" w:eastAsia="Times New Roman" w:hAnsi="Times New Roman"/>
          <w:sz w:val="16"/>
          <w:szCs w:val="16"/>
          <w:color w:val="auto"/>
        </w:rPr>
        <w:t>shares of our common stock, with a weighted-average exercise price of</w:t>
      </w:r>
    </w:p>
    <w:p>
      <w:pPr>
        <w:spacing w:after="0" w:line="30" w:lineRule="exact"/>
        <w:rPr>
          <w:sz w:val="20"/>
          <w:szCs w:val="20"/>
          <w:color w:val="auto"/>
        </w:rPr>
      </w:pPr>
    </w:p>
    <w:p>
      <w:pPr>
        <w:ind w:left="482" w:hanging="482"/>
        <w:spacing w:after="0"/>
        <w:tabs>
          <w:tab w:leader="none" w:pos="48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w:t>
      </w:r>
    </w:p>
    <w:p>
      <w:pPr>
        <w:spacing w:after="0" w:line="1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211"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For a description of the Registration Rights Agreement that we entered into in connection with the Merger and the Private Placement, see “</w:t>
      </w:r>
      <w:r>
        <w:rPr>
          <w:rFonts w:ascii="Times New Roman" w:cs="Times New Roman" w:eastAsia="Times New Roman" w:hAnsi="Times New Roman"/>
          <w:sz w:val="16"/>
          <w:szCs w:val="16"/>
          <w:i w:val="1"/>
          <w:iCs w:val="1"/>
          <w:color w:val="auto"/>
        </w:rPr>
        <w:t>Completion of Acquisition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Disposition of Assets—The Merger and Related Transactions—Registration Rights</w:t>
      </w:r>
      <w:r>
        <w:rPr>
          <w:rFonts w:ascii="Times New Roman" w:cs="Times New Roman" w:eastAsia="Times New Roman" w:hAnsi="Times New Roman"/>
          <w:sz w:val="16"/>
          <w:szCs w:val="16"/>
          <w:color w:val="auto"/>
        </w:rPr>
        <w:t>” above. All descriptions of the Registration Rights Agreement herein are qualified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their entirety by reference to the text thereof and incorporated herein by reference.</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213"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The provisions of the DGCL, our amended and restated certificate of incorporation, and our amended and restated bylaws following the Private Placement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Section 203 of the DGCL</w:t>
      </w:r>
    </w:p>
    <w:p>
      <w:pPr>
        <w:spacing w:after="0" w:line="213"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spacing w:after="0" w:line="157" w:lineRule="exact"/>
        <w:rPr>
          <w:sz w:val="20"/>
          <w:szCs w:val="20"/>
          <w:color w:val="auto"/>
        </w:rPr>
      </w:pPr>
    </w:p>
    <w:p>
      <w:pPr>
        <w:ind w:left="882" w:hanging="293"/>
        <w:spacing w:after="0" w:line="294" w:lineRule="auto"/>
        <w:tabs>
          <w:tab w:leader="none" w:pos="88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the stockholder became interested, our board of directors approved either the business combination or the transaction which resulted in the stockholder becoming an interested stockholder;</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116" w:name="page117"/>
    <w:bookmarkEnd w:id="116"/>
    <w:p>
      <w:pPr>
        <w:jc w:val="both"/>
        <w:ind w:left="880" w:hanging="293"/>
        <w:spacing w:after="0" w:line="269" w:lineRule="auto"/>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56"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203 defines a business combination to include:</w:t>
      </w:r>
    </w:p>
    <w:p>
      <w:pPr>
        <w:spacing w:after="0" w:line="209" w:lineRule="exact"/>
        <w:rPr>
          <w:sz w:val="20"/>
          <w:szCs w:val="20"/>
          <w:color w:val="auto"/>
        </w:rPr>
      </w:pPr>
    </w:p>
    <w:p>
      <w:pPr>
        <w:ind w:left="880" w:hanging="293"/>
        <w:spacing w:after="0"/>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merger or consolidation involving the corporation and the interested stockholder;</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transfer, lease, pledge, or other disposition involving the interested stockholder of 10% or more of the assets of the corporation;</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exceptions, any transaction that results in the issuance of transfer by the corporation of any stock of the corporation to the interested stockholder;</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by the interested stockholder of the benefit of any loans, advances, guarantees, pledges or other financial benefits provided by or through the corporation.</w:t>
      </w:r>
    </w:p>
    <w:p>
      <w:pPr>
        <w:spacing w:after="0" w:line="13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Amended and Restated Certificate of Incorporation and Amended and Restated Bylaw Provisions</w:t>
      </w:r>
    </w:p>
    <w:p>
      <w:pPr>
        <w:spacing w:after="0" w:line="21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34" w:lineRule="exact"/>
        <w:rPr>
          <w:sz w:val="20"/>
          <w:szCs w:val="20"/>
          <w:color w:val="auto"/>
        </w:rPr>
      </w:pPr>
    </w:p>
    <w:p>
      <w:pPr>
        <w:jc w:val="both"/>
        <w:ind w:left="880" w:hanging="293"/>
        <w:spacing w:after="0" w:line="261"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Board Vacancies</w:t>
      </w:r>
      <w:r>
        <w:rPr>
          <w:rFonts w:ascii="Times New Roman" w:cs="Times New Roman" w:eastAsia="Times New Roman" w:hAnsi="Times New Roman"/>
          <w:sz w:val="16"/>
          <w:szCs w:val="16"/>
          <w:color w:val="auto"/>
        </w:rPr>
        <w:t>. Our amended and restated bylaws and certificate of incorporation provide, subject to the special rights of the holders of any series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17" w:name="page118"/>
    <w:bookmarkEnd w:id="117"/>
    <w:p>
      <w:pPr>
        <w:jc w:val="both"/>
        <w:ind w:left="293" w:right="20" w:hanging="293"/>
        <w:spacing w:after="0" w:line="270" w:lineRule="auto"/>
        <w:tabs>
          <w:tab w:leader="none" w:pos="29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Classified Board</w:t>
      </w:r>
      <w:r>
        <w:rPr>
          <w:rFonts w:ascii="Times New Roman" w:cs="Times New Roman" w:eastAsia="Times New Roman" w:hAnsi="Times New Roman"/>
          <w:sz w:val="16"/>
          <w:szCs w:val="16"/>
          <w:color w:val="auto"/>
        </w:rPr>
        <w:t>. Our amended and restated certificate of incorporation and amended and restated bylaws provide that our board of directors is classified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53" w:lineRule="exact"/>
        <w:rPr>
          <w:rFonts w:ascii="Times New Roman" w:cs="Times New Roman" w:eastAsia="Times New Roman" w:hAnsi="Times New Roman"/>
          <w:sz w:val="16"/>
          <w:szCs w:val="16"/>
          <w:color w:val="auto"/>
        </w:rPr>
      </w:pPr>
    </w:p>
    <w:p>
      <w:pPr>
        <w:jc w:val="both"/>
        <w:ind w:left="293" w:right="20" w:hanging="293"/>
        <w:spacing w:after="0" w:line="278" w:lineRule="auto"/>
        <w:tabs>
          <w:tab w:leader="none" w:pos="29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Directors Removed Only for Cause</w:t>
      </w:r>
      <w:r>
        <w:rPr>
          <w:rFonts w:ascii="Times New Roman" w:cs="Times New Roman" w:eastAsia="Times New Roman" w:hAnsi="Times New Roman"/>
          <w:sz w:val="16"/>
          <w:szCs w:val="16"/>
          <w:color w:val="auto"/>
        </w:rPr>
        <w:t>. Our amended and restated certificate of incorporation provide that stockholders may remove directors only for cause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only by the affirmative vote of the holders of at least two-thirds (2/3) of the voting power of the then-outstanding shares of our capital stock entitled to vote generally in the election of directors, voting together as a single class.</w:t>
      </w:r>
    </w:p>
    <w:p>
      <w:pPr>
        <w:spacing w:after="0" w:line="145" w:lineRule="exact"/>
        <w:rPr>
          <w:rFonts w:ascii="Times New Roman" w:cs="Times New Roman" w:eastAsia="Times New Roman" w:hAnsi="Times New Roman"/>
          <w:sz w:val="16"/>
          <w:szCs w:val="16"/>
          <w:color w:val="auto"/>
        </w:rPr>
      </w:pPr>
    </w:p>
    <w:p>
      <w:pPr>
        <w:jc w:val="both"/>
        <w:ind w:left="293" w:right="20" w:hanging="293"/>
        <w:spacing w:after="0" w:line="263" w:lineRule="auto"/>
        <w:tabs>
          <w:tab w:leader="none" w:pos="29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Supermajority Requirements for Amendments of Our Amended and Restated Certificate of Incorporation and Amended and Restated Bylaws</w:t>
      </w:r>
      <w:r>
        <w:rPr>
          <w:rFonts w:ascii="Times New Roman" w:cs="Times New Roman" w:eastAsia="Times New Roman" w:hAnsi="Times New Roman"/>
          <w:sz w:val="16"/>
          <w:szCs w:val="16"/>
          <w:color w:val="auto"/>
        </w:rPr>
        <w:t>.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amended and restated certificate of incorporation further provide that the affirmative vote of holders of at least 66 2/3% of our capital 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amended and restated bylaws, although our amended and restated bylaws may be amended by the approval of a majority of the Whole Board.</w:t>
      </w:r>
    </w:p>
    <w:p>
      <w:pPr>
        <w:spacing w:after="0" w:line="159" w:lineRule="exact"/>
        <w:rPr>
          <w:rFonts w:ascii="Times New Roman" w:cs="Times New Roman" w:eastAsia="Times New Roman" w:hAnsi="Times New Roman"/>
          <w:sz w:val="16"/>
          <w:szCs w:val="16"/>
          <w:color w:val="auto"/>
        </w:rPr>
      </w:pPr>
    </w:p>
    <w:p>
      <w:pPr>
        <w:jc w:val="both"/>
        <w:ind w:left="293" w:right="20" w:hanging="293"/>
        <w:spacing w:after="0" w:line="263" w:lineRule="auto"/>
        <w:tabs>
          <w:tab w:leader="none" w:pos="29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Stockholder Action; Special Meetings of Stockholders</w:t>
      </w:r>
      <w:r>
        <w:rPr>
          <w:rFonts w:ascii="Times New Roman" w:cs="Times New Roman" w:eastAsia="Times New Roman" w:hAnsi="Times New Roman"/>
          <w:sz w:val="16"/>
          <w:szCs w:val="16"/>
          <w:color w:val="auto"/>
        </w:rPr>
        <w:t>. Our amended and restated certificate of incorporation provide that our stockholders may not take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p>
      <w:pPr>
        <w:spacing w:after="0" w:line="159" w:lineRule="exact"/>
        <w:rPr>
          <w:rFonts w:ascii="Times New Roman" w:cs="Times New Roman" w:eastAsia="Times New Roman" w:hAnsi="Times New Roman"/>
          <w:sz w:val="16"/>
          <w:szCs w:val="16"/>
          <w:color w:val="auto"/>
        </w:rPr>
      </w:pPr>
    </w:p>
    <w:p>
      <w:pPr>
        <w:jc w:val="both"/>
        <w:ind w:left="293" w:hanging="293"/>
        <w:spacing w:after="0" w:line="264" w:lineRule="auto"/>
        <w:tabs>
          <w:tab w:leader="none" w:pos="29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Advance Notice Requirements for Stockholder Proposals and Director Nominations</w:t>
      </w:r>
      <w:r>
        <w:rPr>
          <w:rFonts w:ascii="Times New Roman" w:cs="Times New Roman" w:eastAsia="Times New Roman" w:hAnsi="Times New Roman"/>
          <w:sz w:val="16"/>
          <w:szCs w:val="16"/>
          <w:color w:val="auto"/>
        </w:rPr>
        <w:t>. Our amended and restated bylaws provide advance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59" w:lineRule="exact"/>
        <w:rPr>
          <w:rFonts w:ascii="Times New Roman" w:cs="Times New Roman" w:eastAsia="Times New Roman" w:hAnsi="Times New Roman"/>
          <w:sz w:val="16"/>
          <w:szCs w:val="16"/>
          <w:color w:val="auto"/>
        </w:rPr>
      </w:pPr>
    </w:p>
    <w:p>
      <w:pPr>
        <w:jc w:val="both"/>
        <w:ind w:left="293" w:right="20" w:hanging="293"/>
        <w:spacing w:after="0" w:line="278" w:lineRule="auto"/>
        <w:tabs>
          <w:tab w:leader="none" w:pos="29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Cumulative Voting</w:t>
      </w:r>
      <w:r>
        <w:rPr>
          <w:rFonts w:ascii="Times New Roman" w:cs="Times New Roman" w:eastAsia="Times New Roman" w:hAnsi="Times New Roman"/>
          <w:sz w:val="16"/>
          <w:szCs w:val="16"/>
          <w:color w:val="auto"/>
        </w:rPr>
        <w:t>. The DGCL provides that stockholders are not entitled to the right to cumulate votes in the election of directors unless a corporation’s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certificate of incorporation provides otherwise. Our amended and restated certificate of incorporation and amended and restated bylaws do not provide for cumulative voting.</w:t>
      </w:r>
    </w:p>
    <w:p>
      <w:pPr>
        <w:spacing w:after="0" w:line="145" w:lineRule="exact"/>
        <w:rPr>
          <w:rFonts w:ascii="Times New Roman" w:cs="Times New Roman" w:eastAsia="Times New Roman" w:hAnsi="Times New Roman"/>
          <w:sz w:val="16"/>
          <w:szCs w:val="16"/>
          <w:color w:val="auto"/>
        </w:rPr>
      </w:pPr>
    </w:p>
    <w:p>
      <w:pPr>
        <w:jc w:val="both"/>
        <w:ind w:left="293" w:right="20" w:hanging="293"/>
        <w:spacing w:after="0" w:line="270" w:lineRule="auto"/>
        <w:tabs>
          <w:tab w:leader="none" w:pos="29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Issuance of Undesignated Preferred Stock</w:t>
      </w:r>
      <w:r>
        <w:rPr>
          <w:rFonts w:ascii="Times New Roman" w:cs="Times New Roman" w:eastAsia="Times New Roman" w:hAnsi="Times New Roman"/>
          <w:sz w:val="16"/>
          <w:szCs w:val="16"/>
          <w:color w:val="auto"/>
        </w:rPr>
        <w:t>. Our amended and restated certificate of incorporation provides that our board has the authority, without further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354" w:lineRule="exact"/>
        <w:rPr>
          <w:sz w:val="20"/>
          <w:szCs w:val="20"/>
          <w:color w:val="auto"/>
        </w:rPr>
      </w:pPr>
    </w:p>
    <w:p>
      <w:pPr>
        <w:ind w:left="4913"/>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18415</wp:posOffset>
            </wp:positionV>
            <wp:extent cx="714502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0673"/>
          </w:cols>
          <w:pgMar w:left="907" w:top="831" w:right="319" w:bottom="1440" w:gutter="0" w:footer="0" w:header="0"/>
        </w:sectPr>
      </w:pPr>
    </w:p>
    <w:bookmarkStart w:id="118" w:name="page119"/>
    <w:bookmarkEnd w:id="118"/>
    <w:p>
      <w:pPr>
        <w:jc w:val="both"/>
        <w:ind w:left="293" w:hanging="293"/>
        <w:spacing w:after="0" w:line="259" w:lineRule="auto"/>
        <w:tabs>
          <w:tab w:leader="none" w:pos="29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Choice of Forum</w:t>
      </w:r>
      <w:r>
        <w:rPr>
          <w:rFonts w:ascii="Times New Roman" w:cs="Times New Roman" w:eastAsia="Times New Roman" w:hAnsi="Times New Roman"/>
          <w:sz w:val="16"/>
          <w:szCs w:val="16"/>
          <w:color w:val="auto"/>
        </w:rPr>
        <w:t>. Our amended and restated certificate of incorporation provides that, unless we consent in writing to the selection of an alternative forum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p>
      <w:pPr>
        <w:spacing w:after="0" w:line="166" w:lineRule="exact"/>
        <w:rPr>
          <w:rFonts w:ascii="Times New Roman" w:cs="Times New Roman" w:eastAsia="Times New Roman" w:hAnsi="Times New Roman"/>
          <w:sz w:val="16"/>
          <w:szCs w:val="16"/>
          <w:color w:val="auto"/>
        </w:rPr>
      </w:pPr>
    </w:p>
    <w:p>
      <w:pPr>
        <w:jc w:val="both"/>
        <w:ind w:left="293"/>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62" w:lineRule="exact"/>
        <w:rPr>
          <w:rFonts w:ascii="Times New Roman" w:cs="Times New Roman" w:eastAsia="Times New Roman" w:hAnsi="Times New Roman"/>
          <w:sz w:val="16"/>
          <w:szCs w:val="16"/>
          <w:color w:val="auto"/>
        </w:rPr>
      </w:pPr>
    </w:p>
    <w:p>
      <w:pPr>
        <w:jc w:val="both"/>
        <w:ind w:left="293"/>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62" w:lineRule="exact"/>
        <w:rPr>
          <w:rFonts w:ascii="Times New Roman" w:cs="Times New Roman" w:eastAsia="Times New Roman" w:hAnsi="Times New Roman"/>
          <w:sz w:val="16"/>
          <w:szCs w:val="16"/>
          <w:color w:val="auto"/>
        </w:rPr>
      </w:pPr>
    </w:p>
    <w:p>
      <w:pPr>
        <w:ind w:left="293"/>
        <w:spacing w:after="0" w:line="29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or entity purchasing or otherwise acquiring or holding any interest in shares of our capital stock shall be deemed to have notice of and consented to the forum selection provisions in the amended and restated certificate of incorporation.</w:t>
      </w:r>
    </w:p>
    <w:p>
      <w:pPr>
        <w:spacing w:after="0" w:line="138" w:lineRule="exact"/>
        <w:rPr>
          <w:rFonts w:ascii="Times New Roman" w:cs="Times New Roman" w:eastAsia="Times New Roman" w:hAnsi="Times New Roman"/>
          <w:sz w:val="16"/>
          <w:szCs w:val="16"/>
          <w:color w:val="auto"/>
        </w:rPr>
      </w:pPr>
    </w:p>
    <w:p>
      <w:pPr>
        <w:jc w:val="both"/>
        <w:ind w:left="293"/>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200" w:lineRule="exact"/>
        <w:rPr>
          <w:sz w:val="20"/>
          <w:szCs w:val="20"/>
          <w:color w:val="auto"/>
        </w:rPr>
      </w:pPr>
    </w:p>
    <w:p>
      <w:pPr>
        <w:spacing w:after="0" w:line="356" w:lineRule="exact"/>
        <w:rPr>
          <w:sz w:val="20"/>
          <w:szCs w:val="20"/>
          <w:color w:val="auto"/>
        </w:rPr>
      </w:pPr>
    </w:p>
    <w:p>
      <w:pPr>
        <w:ind w:left="4913"/>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18415</wp:posOffset>
            </wp:positionV>
            <wp:extent cx="714502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0653"/>
          </w:cols>
          <w:pgMar w:left="907" w:top="83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color w:val="auto"/>
        </w:rPr>
        <w:t>Limitation on Liability and Indemnification of Directors and Officers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transfer agent and registrar for our common stock is VStock Transfer, LLC. The transfer agent’s address is 18 Lafayette Place, Woodmere, NY 11598, and its telephone number is (212) 828-8436.</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6"/>
          <w:szCs w:val="16"/>
          <w:b w:val="1"/>
          <w:bCs w:val="1"/>
          <w:color w:val="auto"/>
        </w:rPr>
        <w:t>SHARES ELIGIBLE FOR FUTURE SALE</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or settlement of restricted stock units, in the public market after the completion of this offering, or the perception that those sales may occur, could adversely affect the prevailing market price for our common stock from time to time or impair our ability to raise equity capital in the future. As described below, only a limited number of shares of our common stock will be available for sale in the public market for a period of several months after the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Upon the closing of this offering, a total of shares of our common stock will be outstanding, assuming the underwriters do not exercise their option to purchase additional shares. Of these shares, shares of our common stock sold in this offering will be freely tradable in the public market without restriction or further registration under the Securities Act, unless these shares are held by “affiliates,” as that term is defined in Rule 144 under the Securities Act.</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Standstill and Lock-up Agreements</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have agreed that, without the prior written consent of the underwriters, we will not, for a period of twelve (12) months after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Commission relating to the offering of any of our equity securities or any securities convertible into or exercisable or exchangeable for our equity securities; or (c) enter into any agreement or announce the intention to effect any of the actions described in subsections (a) or (b) hereof.</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directors, executive officers, employees and principal stockholders (holding 5% or more of the common stock of the Company) have agreed that, without the prior written consent of the underwriters, we and they will not, subject to certain exceptions, during the period ending 180 days after the date of this prospectus, offer, issue, sell, contract to sell, encumber, grant any option for the sale of or otherwise dispose any shares of our common stock or any securities convertible into or exercisable or exchangeable for shares of our common stock. For additional information, see “</w:t>
      </w:r>
      <w:r>
        <w:rPr>
          <w:rFonts w:ascii="Times New Roman" w:cs="Times New Roman" w:eastAsia="Times New Roman" w:hAnsi="Times New Roman"/>
          <w:sz w:val="16"/>
          <w:szCs w:val="16"/>
          <w:i w:val="1"/>
          <w:iCs w:val="1"/>
          <w:color w:val="auto"/>
        </w:rPr>
        <w:t>Underwriting</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Furthermore, in connection with the initial closing of the Private Placement, all officers, directors, and certain principal stockholders (with 5% or more of the common stock of the Company) agreed, subject to certain exceptions, not to dispose of or hedge any shares of common stock or securities convertible into or exchangeable for shares of common stock during the period from July 31, 2023, the date of the lock-up agreement, through July 31, 2024.</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Following the lock-up periods set forth in the agreements described above, substantially all of the shares of our common stock will be eligible for sale in the public market in compliance with Rule 144 or another exemption under the Securities Act or pursuant to the registration statement of which this prospectus forms a part.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color w:val="auto"/>
        </w:rPr>
        <w:t>Rule 144</w:t>
      </w:r>
    </w:p>
    <w:p>
      <w:pPr>
        <w:spacing w:after="0" w:line="21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Pursuant to Rule 144 promulgated under the Securities Act, sales of the securities of a former shell company, such as us, are not permitted (i) until at least 12 months have elapsed from the date on which we provided Form 10 information in our Form 8-K filed with the SEC, as amended by the Form 8-K/A filed with the SEC on August 16, 2023, and (ii) unless at the time of a proposed sale, we are subject to the reporting requirements of Section 13 or 15(d) of the Exchange Act and have filed all reports and other materials required to be filed by Section 13 or 15(d) of the Exchange Act, as applicable, during the preceding 12 months, other than Current Reports on Form 8-K. We have registered certain shares of our common stock under the Securities Act and have filed all reports and other materials required to be filed by Section 13 or Section 15(d) of the Exchange Act, as applicable, during the preceding 12 months, other than Current Reports on Form 8-K. The stockholders of such unregistered shares of common stock will be forced to hold their shares of our common stock for at least that 12-month period before they are eligible to sell those shares, and even after that 12-month period, sales may not be made under Rule 144 unless we are in compliance with other requirements of Rule 144.</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general, Rule 144 provides that (i) any of our non-affiliates that has held restricted common stock for at least 12 months is thereafter entitled to sell its restricted stock freely and without restriction, provided that we remain compliant and current with our SEC reporting obligations, and (ii) any of our affiliates, which includes our directors, executive officers and other person in control of us, that has held restricted common stock for at least 12 months is thereafter entitled to sell its restricted stock subject to the following restrictions: (a) we are compliant and current with our SEC reporting obligations, (b) certain manner of sale provisions are satisfied, (c) a Form 144 is filed with the SEC, and (d) certain volume limitations are satisfied, which limit the sale of shares within any three-month period to a number of shares that does not exceed 1% of the total number of outstanding shares or, if our common stock is then listed or quoted for trading on a national securities exchange, then the greater of 1% of the total number of outstanding shares and the average weekly trading volume of our common stock during the four calendar weeks preceding the filing of the Form 144 with respect to the sale. A person who has ceased to be an affiliate at least three months immediately preceding the sale and who has owned such shares of common stock for at least one year is entitled to sell the shares under Rule 144 without regard to any of the limitations described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S</w:t>
      </w:r>
    </w:p>
    <w:p>
      <w:pPr>
        <w:spacing w:after="0" w:line="21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Regulation S under the Securities Act provides that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shares of common stock may be sold in some other manner outside the United States without requiring registration in the United States.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Rule 701</w:t>
      </w:r>
    </w:p>
    <w:p>
      <w:pPr>
        <w:spacing w:after="0" w:line="21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Merger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agreements described above, if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and Private Placement</w:t>
      </w:r>
    </w:p>
    <w:p>
      <w:pPr>
        <w:spacing w:after="0" w:line="21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In connection with the Merger and the Private Placement, we entered into the Registration Rights Agreement, pursuant to which we agreed that promptly, but no later than 60 calendar days from the final closing of the Private Placement, we would file, subject to customary exceptions, a Registration Statement covering the Registrable Securities. We also undertook to use our commercially reasonable efforts to ensure that such Registration Statement is declared effective within 120 calendar days after the final closing of the Private Placement.</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122" w:name="page123"/>
    <w:bookmarkEnd w:id="122"/>
    <w:p>
      <w:pPr>
        <w:jc w:val="both"/>
        <w:ind w:left="2"/>
        <w:spacing w:after="0" w:line="258" w:lineRule="auto"/>
        <w:rPr>
          <w:sz w:val="20"/>
          <w:szCs w:val="20"/>
          <w:color w:val="auto"/>
        </w:rPr>
      </w:pPr>
      <w:r>
        <w:rPr>
          <w:rFonts w:ascii="Times New Roman" w:cs="Times New Roman" w:eastAsia="Times New Roman" w:hAnsi="Times New Roman"/>
          <w:sz w:val="16"/>
          <w:szCs w:val="16"/>
          <w:color w:val="auto"/>
        </w:rPr>
        <w:t>Subject to customary exceptions, if any Registration Event occurs,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(1) any Registrable Securities removed from the Registration Statement in response to a comment from the staff of the SEC limiting the number of shares of common stock which may be included in the Registration Statement (a “Cutback Comment”), (2) any Registrable Securities that may be resold without manner of sale restrictions, current information requirements, volume limitations or other limitations under Rule 144 or another exemption from registration under the Securities Act, (3) any Registrable Securities excluded from a registration statement because a holder fails to provide information concerning the holder and the manner of distribution of the holder’s Registrable Securities that is required by SEC rules to be disclosed, and (4) any circumstance in which the SEC does not declare the Registration Statement effective on or before 120 days after the final closing of the Private Placement, and the reason for the SEC’s determination is that (a) the offering of any of the Registrable Securities constitutes a primary offering of securities by the Company, (b) Rule 415 of the Securities Act may not be relied upon for the registration of the resale of any or all of the Registrable Securities, and/or</w:t>
      </w:r>
    </w:p>
    <w:p>
      <w:pPr>
        <w:spacing w:after="0" w:line="3" w:lineRule="exact"/>
        <w:rPr>
          <w:sz w:val="20"/>
          <w:szCs w:val="20"/>
          <w:color w:val="auto"/>
        </w:rPr>
      </w:pPr>
    </w:p>
    <w:p>
      <w:pPr>
        <w:jc w:val="both"/>
        <w:ind w:left="2" w:hanging="2"/>
        <w:spacing w:after="0" w:line="260" w:lineRule="auto"/>
        <w:tabs>
          <w:tab w:leader="none" w:pos="22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of any Registrable Securities must be named as an underwriter and such holder does not consent to be so named in the Registration Statement. Notwithstanding the previous sentence, if the SEC does not declare the Registration Statement effective before the Registration Effectiveness Date, in certain circumstances we may still be liable for liquidated damages if we do not continue to use our commercially reasonable efforts at the first opportunity that is permitted by the SEC to register for resale all such Registrable Securities, using one or more registration statements that we are then entitled to use. Any cutback resulting from a Cutback Comment shall be applied to the Registrable Securities pro rata based on the total number of such shares held by or issuable to each holder thereof.</w:t>
      </w:r>
    </w:p>
    <w:p>
      <w:pPr>
        <w:spacing w:after="0" w:line="164" w:lineRule="exact"/>
        <w:rPr>
          <w:sz w:val="20"/>
          <w:szCs w:val="20"/>
          <w:color w:val="auto"/>
        </w:rPr>
      </w:pPr>
    </w:p>
    <w:p>
      <w:pPr>
        <w:jc w:val="both"/>
        <w:ind w:left="2"/>
        <w:spacing w:after="0" w:line="294" w:lineRule="auto"/>
        <w:rPr>
          <w:sz w:val="20"/>
          <w:szCs w:val="20"/>
          <w:color w:val="auto"/>
        </w:rPr>
      </w:pPr>
      <w:r>
        <w:rPr>
          <w:rFonts w:ascii="Times New Roman" w:cs="Times New Roman" w:eastAsia="Times New Roman" w:hAnsi="Times New Roman"/>
          <w:sz w:val="16"/>
          <w:szCs w:val="16"/>
          <w:color w:val="auto"/>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spacing w:after="0" w:line="138"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Convertible Promissory Notes</w:t>
      </w:r>
    </w:p>
    <w:p>
      <w:pPr>
        <w:spacing w:after="0" w:line="211"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16"/>
          <w:szCs w:val="16"/>
          <w:color w:val="auto"/>
        </w:rPr>
        <w:t>The Convertible Promissory Notes provide for certain registration rights, pursuant to which we agreed that as soon as practicable, but no later than 45 days after the date of issuance of the Conversion Shares, we will use our best efforts to file, subject to customary exceptions, a registration statement with the SEC covering the Conversion Shares. The shares of common stock issuable upon exercise of the Convertible Promissory Notes Offering Warrants will also be registered under the registration statement to be filed with respect to the Conversion Shares.</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Stock Plans</w:t>
      </w:r>
    </w:p>
    <w:p>
      <w:pPr>
        <w:spacing w:after="0" w:line="213"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16"/>
          <w:szCs w:val="16"/>
          <w:color w:val="auto"/>
        </w:rPr>
        <w:t>We intend to file with the SEC a registration statement under the Securities Act covering the shares of common stock that are outstanding or reserved for issuance under the Serve Plan and 2023 Plan. Once such registration statement become effective, shares registered thereunder will be available for sale in the open market following its effective date, subject to Rule 144 volume limitations and the lock-up agreements described above, if applicable.</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6"/>
          <w:szCs w:val="16"/>
          <w:b w:val="1"/>
          <w:bCs w:val="1"/>
          <w:color w:val="auto"/>
        </w:rPr>
        <w:t>CERTAIN U.S. FEDERAL INCOME TAX CONSIDERATIONS</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discussion is a summary of certain U.S. federal income tax considerations generally applicable to the ownership and disposition of our common stock.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common stock as part of a straddle, hedge, conversion, or other integrated transaction for U.S. federal income tax purposes, expatriates or former long-term residents of the United States, persons that are subject to the “applicable financial statement” rules under Section 451(b) of the Code, or U.S. Holders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common stock as “capital assets” (generally, property held for investment) under the Code and that acquire our common stock for cash pursuant to this prospectus. No ruling from the Internal Revenue Service, (the “IRS”) has been or will be sought regarding any matter discussed herein. No assurance can be given that the IRS would not assert, or that a court would not sustain a position contrary to any of the tax aspects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purposes of this summary, a “U.S. Holder” is a beneficial holder of common stock who or that, for U.S. federal income tax purposes, is:</w:t>
      </w:r>
    </w:p>
    <w:p>
      <w:pPr>
        <w:spacing w:after="0" w:line="209" w:lineRule="exact"/>
        <w:rPr>
          <w:sz w:val="20"/>
          <w:szCs w:val="20"/>
          <w:color w:val="auto"/>
        </w:rPr>
      </w:pPr>
    </w:p>
    <w:p>
      <w:pPr>
        <w:ind w:left="880" w:hanging="293"/>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20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an entity treated as a corporation for U.S. federal income tax purposes) created in, or organized under the law of, the United States or any state thereof or the District of Columbia;</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United States federal income tax purposes regardless of its source; or</w:t>
      </w:r>
    </w:p>
    <w:p>
      <w:pPr>
        <w:spacing w:after="0" w:line="208" w:lineRule="exact"/>
        <w:rPr>
          <w:rFonts w:ascii="Times New Roman" w:cs="Times New Roman" w:eastAsia="Times New Roman" w:hAnsi="Times New Roman"/>
          <w:sz w:val="16"/>
          <w:szCs w:val="16"/>
          <w:color w:val="auto"/>
        </w:rPr>
      </w:pPr>
    </w:p>
    <w:p>
      <w:pPr>
        <w:jc w:val="both"/>
        <w:ind w:left="880" w:hanging="293"/>
        <w:spacing w:after="0" w:line="275"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“non-U.S. Holder” is a beneficial holder of common stock who or that is neither a U.S. Holder nor a partnership for U.S. federal income tax purposes.</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If a partnership (including an entity or arrangement treated as a partnership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COMMON STOCK, AS WELL AS THE APPLICATION OF ANY, STATE, LOCAL AND NON-U.S. INCOME, ESTATE AND OTHER TAX CONSIDERATIONS.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color w:val="auto"/>
        </w:rPr>
        <w:t>U.S. 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Taxation of distributions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we pay distributions (other than certain distributions of our capital stock or rights to acquire our capital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Holders—Gain or loss on sale, taxable exchange or other taxable disposition of common stock” below.</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Gain or loss on sale, taxable exchange or other taxable disposition of common stock</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less any prior distributions treated as a return of capital. The deductibility of capital losses is subject to limitations. Long-term capital gains recognized by non-corporate U.S. Holders are generally eligible for reduced rates of tax. If the U.S. Holder’s holding period for the common stock so disposed of is one year or less, any gain on a sale, taxable exchange or other taxable disposition of the shares would be subject to short-term capital gain treatment and would be taxed at ordinary income tax rates.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Information reporting and backup withholding</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general, information reporting requirements may apply to dividends paid to a U.S. Holder and to the proceeds of the sale or other disposition of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color w:val="auto"/>
        </w:rPr>
        <w:t>Non-U.S. 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Taxation of distributions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 In addition, if we determine that we are likely to be classified as a “United States real property holding corporation” (see “Non-U.S. Holders—Gain on sale, taxable exchange or other taxable disposition of common stock” below), we will withhold 15% of any distribution that exceeds our current and accumulated earnings and profits.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Dividends we pay to a non-U.S. Holder that are effectively connected with such non-U.S. Holder’s conduct of a trade or business within the United States (and, if an applicable tax treaty so requires,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Gain on sale, taxable exchange or other taxable disposition of common stock</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A non-U.S. Holder generally will not be subject to U.S. federal income or withholding tax in respect of gain recognized on a sale, taxable exchange or other taxable disposition of our common stock, unless:</w:t>
      </w:r>
    </w:p>
    <w:p>
      <w:pPr>
        <w:spacing w:after="0" w:line="138" w:lineRule="exact"/>
        <w:rPr>
          <w:sz w:val="20"/>
          <w:szCs w:val="20"/>
          <w:color w:val="auto"/>
        </w:rPr>
      </w:pPr>
    </w:p>
    <w:p>
      <w:pPr>
        <w:ind w:left="880" w:hanging="293"/>
        <w:spacing w:after="0" w:line="29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38" w:lineRule="exact"/>
        <w:rPr>
          <w:rFonts w:ascii="Times New Roman" w:cs="Times New Roman" w:eastAsia="Times New Roman" w:hAnsi="Times New Roman"/>
          <w:sz w:val="16"/>
          <w:szCs w:val="16"/>
          <w:color w:val="auto"/>
        </w:rPr>
      </w:pPr>
    </w:p>
    <w:p>
      <w:pPr>
        <w:ind w:left="880" w:hanging="293"/>
        <w:spacing w:after="0" w:line="29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non-U.S. Holder is an individual who is present in the United States for 183 days or more in the taxable year of disposition and certain other conditions are met; or</w:t>
      </w:r>
    </w:p>
    <w:p>
      <w:pPr>
        <w:spacing w:after="0" w:line="138" w:lineRule="exact"/>
        <w:rPr>
          <w:rFonts w:ascii="Times New Roman" w:cs="Times New Roman" w:eastAsia="Times New Roman" w:hAnsi="Times New Roman"/>
          <w:sz w:val="16"/>
          <w:szCs w:val="16"/>
          <w:color w:val="auto"/>
        </w:rPr>
      </w:pPr>
    </w:p>
    <w:p>
      <w:pPr>
        <w:jc w:val="both"/>
        <w:ind w:left="880" w:hanging="293"/>
        <w:spacing w:after="0" w:line="265"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If the third bullet point above applies to a non-U.S. Holder and applicable exceptions are not available, gain recognized by such holder on the sale, exchange or other disposition of our common stock will be subject to tax at generally applicable U.S. federal income tax rates. In addition, a buyer of our common stock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i w:val="1"/>
          <w:iCs w:val="1"/>
          <w:color w:val="auto"/>
        </w:rPr>
        <w:t>Foreign Account Tax Compliance Act</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Provisions of the Code and Treasury Regulations and administrative guidance promulgated thereunder commonly referred to as the “Foreign Account Tax Compliance Act” (“FATCA”) generally impose withholding at a rate of 30% in certain circumstances on dividends in respect of our common stock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Information reporting and backup withholding</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Information returns will be filed with the IRS in connection with payments of dividends and the proceeds from a sale or other disposition of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3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Each prospective investor should consult its own tax advisor regarding the particular U.S. federal, state and local and non-U.S. tax consequences of purchasing, holding, and disposing of our common stock, including the consequences of any proposed change inapplicable laws.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UNDERWRITING</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have entered into an underwriting agreement with Aegis Capital Corp. (the “underwriter”) with respect to the securities subject to this offering. Subject to certain conditions, we have agreed to sell to the underwriter, and the underwriter has agreed to purchase, the number of shares of our common stock listed next to its name in the below table at the public offering price less the underwriting discounts and commissions set forth on the cover page of this prospectus.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21"/>
        </w:trPr>
        <w:tc>
          <w:tcPr>
            <w:tcW w:w="10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13"/>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Aegis Capital Corp.</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underwriting agreement will provide that the obligations of the underwriter to pay for and accept delivery of the shares offered by this prospectus are subject to the approval of certain legal matters by its legal counsel and certain other conditions. The underwriter is obligated to take and pay for all of the shares if any of the shares are taken. The underwriter is not, however, required to take or pay for shares covered by the over-allotment option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Over-Allotment Option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have granted to the underwriter an option, exercisable no later than 45 calendar days after the date of the closing of this offering, to purchase up to additional shares of common stock at the public offering price listed on the cover page of this prospectus, less underwriting discounts and commissions. The underwriter may exercise this option only to cover over-allotments, if any, made in connection with this offering. To the extent the option is exercised and the conditions of the underwriting agreement are satisfied, we will be obligated to sell to the underwriter, and the underwriter will be obligated to purchase, these additional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Discounts and Commissions</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following table summarizes the underwriting discounts and commissions, expense allowance and proceeds, before expenses, to us assuming both no exercise and full exercise by the underwriter of the over-allotment option: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Without</w:t>
            </w: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With</w:t>
            </w:r>
          </w:p>
        </w:tc>
      </w:tr>
      <w:tr>
        <w:trPr>
          <w:trHeight w:val="196"/>
        </w:trPr>
        <w:tc>
          <w:tcPr>
            <w:tcW w:w="5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Per</w:t>
            </w: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c>
          <w:tcPr>
            <w:tcW w:w="2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Over-Allotment</w:t>
            </w:r>
          </w:p>
        </w:tc>
      </w:tr>
      <w:tr>
        <w:trPr>
          <w:trHeight w:val="221"/>
        </w:trPr>
        <w:tc>
          <w:tcPr>
            <w:tcW w:w="5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196"/>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20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 and commissions (6.5%)</w:t>
            </w:r>
          </w:p>
        </w:tc>
        <w:tc>
          <w:tcPr>
            <w:tcW w:w="3200" w:type="dxa"/>
            <w:vAlign w:val="bottom"/>
            <w:gridSpan w:val="2"/>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2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Non-accountable expense allowance (1.0%)</w:t>
            </w:r>
          </w:p>
        </w:tc>
        <w:tc>
          <w:tcPr>
            <w:tcW w:w="3200" w:type="dxa"/>
            <w:vAlign w:val="bottom"/>
            <w:gridSpan w:val="2"/>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r>
      <w:tr>
        <w:trPr>
          <w:trHeight w:val="198"/>
        </w:trPr>
        <w:tc>
          <w:tcPr>
            <w:tcW w:w="52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Proceeds to us, before fees and other expenses</w:t>
            </w:r>
          </w:p>
        </w:tc>
        <w:tc>
          <w:tcPr>
            <w:tcW w:w="20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7"/>
                <w:szCs w:val="17"/>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underwriter proposes to offer the common stock offered by us to the public at the public offering price set forth on the cover of this prospectus. In addition, the</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underwriter may offer some of the shares to other securities dealers at such price less a concession of $ per share. If all of the shares offered by us are not sold at the public offering price, the underwriter may change the offering price and other selling terms by means of a supplement to this prospectus.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have agreed to pay a non-accountable expense allowance to the underwriter equal to 1.0% of the gross proceeds received in this offering. We estimate that the total expenses of the offering, including registration, filing and listing fees, printing fees and legal and accounting expenses, but excluding underwriting discounts and</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commissions and the 1.0% non-accountable expense allowance, will be approximately $ , all of which are payable by us. This figure includes the underwriter’s accountable expenses up to a maximum aggregate expense reimbursement of $150,000, including, but not limited to, legal fees for the underwriter’s legal counsel, that we have agreed to pay at the closing of the offering.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color w:val="auto"/>
        </w:rPr>
        <w:t>Underwriter Warrants</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have agreed to issue to the underwriter or its designees warrants to purchase up to a total of 5.0% of the shares of common stock sold in this offering, excluding shares sold pursuant to the exercise of the over-allotment option, if any. Such warrants and the underlying shares of common stock are included in this prospectus. The warrants</w:t>
      </w:r>
    </w:p>
    <w:p>
      <w:pPr>
        <w:spacing w:after="0" w:line="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are exercisable at $ per share (125% of the public offering price per share of common stock) commencing on the date which is six (6) months from the effective date of the offering and expiring on the date which is five (5) years from the commencement of sales of the offering in compliance with FINRA Rule 5110.</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warrants have been deemed compensation by FINRA and are therefore subject to a 6-month lock-up pursuant to Rule 5110 of FINRA. The underwriters (or their permitted assignees under the Rule) will not sell, transfer, assign, pledge, or hypothecate these warrants or the securities underlying these warrants, nor will it engage in any hedging, short sale, derivative, put, or call transaction that would result in the effective economic disposition of the warrants or the underlying securities for a period of 180 days from effectiveness. The warrants may be exercised from time to time as to all or any portion of the shares of common stock. The warrants shall be exercisable on a cash basis, provided that if a registration statement registering the common stock underlying the warrants is not effective, the warrants may be exercised on a cashless basis. The warrants will provide for registration rights upon request, in certain cases. The sole demand registration right provided will not be greater than five years from the commencement of sales of the public offering in compliance with FINRA Rule 5110(g)(8)(C). The piggyback registration rights provided will not be greater than seven years from the commencement of sales of the public offering in compliance with FINRA Rule 5110(g)(8)(D). The Company will bear all fees and expenses attendant to registering the securities issuable on exercise of the warrants other than underwriting commissions incurred and payable by the holders. Consistent with FINRA Rule 5110(g)(8)(E) and (F), the exercise price and number of shares issuable upon exercise of the warrants may be adjusted in certain circumstances including in the event of a stock dividend, extraordinary cash dividend or the Company’s recapitalization, reorganization, merger or consolidation; however, the warrant exercise price or underlying shares will not be adjusted for issuances of shares of common stock at a price below the warrant exercise price.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Standstill</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have agreed that without the prior written consent of the underwriter, we will not, for a period of twelve (12) months after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Commission relating to the offering of any of our equity securities or any securities convertible into or exercisable or exchangeable for our equity securities; or (c) enter into any agreement or announce the intention to effect any of the actions described in subsections (a) or (b)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Lock-Up Agreements</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Each of our executive officers, directors, employees and shareholders holding at least % of our outstanding common stock have agreed, subject to certain exceptions, not to offer, sell, contract to sell, encumber, grant any option for the sale of or otherwise dispose of any of our shares or other securities convertible into or exercisable or exchangeable for our shares for a period of 180 days after the closing of this offering.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Tail Financing</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addition, we have agreed to pay the underwriter cash fees and expense allowance and issue to it warrants, all calculated in the manner set forth above, to the extent that any investor that the underwriter contacted or introduced to us during the term of our engagement agreement with the underwriter dated January 29, 2024, or any affiliate of such investor, provides financing or capital in any public or private offering or other capital raising transaction during the twelve (12) month period following the closing of this offering or expiration or termination of our engagement letter with the underwriter.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have agreed to indemnify the underwriter against certain liabilities, including liabilities under the Securities Act, and to contribute to payments that the underwriter may be required to make for these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Price Stabilization, Short Positions and Penalty Bids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connection with this offering, the underwriter may engage in transactions that stabilize, maintain or otherwise affect the price of our common stock. Specifically, the underwriter may over-allot in connection with this offering by selling more shares of common stock than are set forth on the cover page of this prospectus. This creates a short position in our common stock for its own account. The short position may be either a covered short position or a naked short position. In a covered short position, the number of shares of common stock over-allotted by the underwriter is not greater than the number of shares of our common stock that they may purchase in the over-allotment option. In a naked short position, the number of shares of our common stock involved is greater than the number of shares of common stock in the over-allotment option. To close out a short position, the underwriter may elect to exercise all or part of the over-allotment option. The underwriter may also elect to stabilize the price of our common stock or reduce any short position by bidding for, and purchasing, our common stock in the open market.</w:t>
      </w:r>
    </w:p>
    <w:p>
      <w:pPr>
        <w:spacing w:after="0" w:line="1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underwriter may also impose a penalty bid. This occurs when a particular underwriter or dealer repays selling concessions allowed to it for distributing a security in this offering because the underwriter repurchases that security in stabilizing or short covering transactions.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Finally, the underwriter may bid for, and purchase, shares of our common stock in market making transactions, including “passive” market making transactions as described below.</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These activities may stabilize or maintain the market price of our common stock at a price that is higher than the price that might otherwise exist in the absence of these activities. The underwriter is not required to engage in these activities and may discontinue any of these activities at any time without notice.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In connection with this offering, the underwriter and selling group members, if any, or their affiliates may engage in passive market making transactions in our common stock immediately prior to the commencement of sales in this offering, in accordance with Rule 103 of Regulation M under the Exchange Act. Rule 103 generally provides that:</w:t>
      </w:r>
    </w:p>
    <w:p>
      <w:pPr>
        <w:spacing w:after="0" w:line="345" w:lineRule="exact"/>
        <w:rPr>
          <w:sz w:val="20"/>
          <w:szCs w:val="20"/>
          <w:color w:val="auto"/>
        </w:rPr>
      </w:pPr>
    </w:p>
    <w:p>
      <w:pPr>
        <w:ind w:left="880" w:hanging="293"/>
        <w:spacing w:after="0" w:line="294"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purchases by a passive market maker on each day are generally limited to 30% of the passive market maker’s average daily trading volume in our common stock during a specified two-month prior period or 200 shares, whichever is greater, and must be discontinued when that limit is reached; and</w:t>
      </w:r>
    </w:p>
    <w:p>
      <w:pPr>
        <w:spacing w:after="0" w:line="13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passive market making bids must be identified as such.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Electronic Distribution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prospectus in electronic format may be made available on a website maintained by the underwriter. The underwriter may agree to allocate a number of shares to underwriters for sale to their online brokerage account holders. Internet distributions will be allocated by the underwriter to underwriters that may make internet distributions on the same basis as other allocations. In connection with the offering, the underwriter or syndicate members may distribute prospectuses electronically. No forms of electronic prospectus other than prospectuses that are printable as Adobe® PDF will be used in connection with this offering.</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Other than the prospectus in electronic format, the information on the any underwriter’s website and any information contained in any other website maintained by the underwriter is not part of the prospectus or the registration statement of which this prospectus forms a part, has not been approved and/or endorsed by us or any underwriter in its capacity as underwriter agent and should not be relied upon by investors.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Affiliations</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underwriter and its affiliates may provide, from time to time, investment banking and financial advisory services to us in the ordinary course of business, for which they may receive customary fees and commissions.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validity of the shares of our common stock being offered by this prospectus will be passed upon for us by Orrick, Herrington &amp; Sutcliffe LLP, 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legal matters relating to this offering will be passed upon for the underwriters by Sichenzia Ross Ference Carmel LLP, New York, New York.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financial statements of Serve as of and for each of the years in the two-year period ended December 31, 2022 and 2021, have been audited by dbbmckennon, independent registered public accounting firm, as set forth in their report (which contains an explanatory paragraph describing conditions that raise substantial doubt about Serve’s ability to continue as a going concern as described in Note 2 to the financial statements) included in this registration statement. Such financial statements have been included herein in reliance upon such report given on the authority of said firm as experts in accounting and auditing.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have filed with the SEC this registration statement on Form S-1 under the Securities Act with respect to the shares of common stock being offered by this prospectus. This prospectus, which constitutes a part of this registration statement, does not contain all of the information in this registration statement and its exhibits. For further information with respect to us and the common stock offered by this prospectus, you should refer to this registration statement and the exhibits filed as part of this document. Statements contained in this prospectus as to the contents of any contract or any other document referred to are not necessarily complete, and in each instance, we refer you to the copy of the contract or other document filed as an exhibit to this registration statement. Each of these statements is qualified in all respects by this reference.</w:t>
      </w:r>
    </w:p>
    <w:p>
      <w:pPr>
        <w:spacing w:after="0" w:line="3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 xml:space="preserve">We are subject to the informational requirements of the Exchange Act and file annual, quarterly and current reports, proxy statements and other information with the SEC. You can read our SEC filings, including this registration statement, over the internet on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 You may also request a copy of these filings, at no cost, by writing or telephoning us at: Serve Robotics Inc. 730 Broadway, Redwood City, California 94063, (818) 860-1352.</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00" w:type="dxa"/>
            <w:vAlign w:val="bottom"/>
            <w:gridSpan w:val="3"/>
          </w:tcPr>
          <w:p>
            <w:pPr>
              <w:jc w:val="center"/>
              <w:ind w:right="272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tc>
        <w:tc>
          <w:tcPr>
            <w:tcW w:w="1100" w:type="dxa"/>
            <w:vAlign w:val="bottom"/>
          </w:tcPr>
          <w:p>
            <w:pPr>
              <w:spacing w:after="0"/>
              <w:rPr>
                <w:sz w:val="18"/>
                <w:szCs w:val="18"/>
                <w:color w:val="auto"/>
              </w:rPr>
            </w:pPr>
          </w:p>
        </w:tc>
      </w:tr>
      <w:tr>
        <w:trPr>
          <w:trHeight w:val="393"/>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gridSpan w:val="3"/>
          </w:tcPr>
          <w:p>
            <w:pPr>
              <w:jc w:val="center"/>
              <w:ind w:right="2740"/>
              <w:spacing w:after="0"/>
              <w:rPr>
                <w:sz w:val="20"/>
                <w:szCs w:val="20"/>
                <w:color w:val="auto"/>
              </w:rPr>
            </w:pPr>
            <w:r>
              <w:rPr>
                <w:rFonts w:ascii="Times New Roman" w:cs="Times New Roman" w:eastAsia="Times New Roman" w:hAnsi="Times New Roman"/>
                <w:sz w:val="16"/>
                <w:szCs w:val="16"/>
                <w:b w:val="1"/>
                <w:bCs w:val="1"/>
                <w:color w:val="auto"/>
              </w:rPr>
              <w:t>Serve Robotics Inc.</w:t>
            </w:r>
          </w:p>
        </w:tc>
        <w:tc>
          <w:tcPr>
            <w:tcW w:w="1100" w:type="dxa"/>
            <w:vAlign w:val="bottom"/>
          </w:tcPr>
          <w:p>
            <w:pPr>
              <w:spacing w:after="0"/>
              <w:rPr>
                <w:sz w:val="24"/>
                <w:szCs w:val="24"/>
                <w:color w:val="auto"/>
              </w:rPr>
            </w:pPr>
          </w:p>
        </w:tc>
      </w:tr>
      <w:tr>
        <w:trPr>
          <w:trHeight w:val="393"/>
        </w:trPr>
        <w:tc>
          <w:tcPr>
            <w:tcW w:w="101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Audited Financial Statements for the Years Ended December 31, 2022 and 2021</w:t>
            </w:r>
          </w:p>
        </w:tc>
        <w:tc>
          <w:tcPr>
            <w:tcW w:w="1100" w:type="dxa"/>
            <w:vAlign w:val="bottom"/>
          </w:tcPr>
          <w:p>
            <w:pPr>
              <w:spacing w:after="0"/>
              <w:rPr>
                <w:sz w:val="24"/>
                <w:szCs w:val="24"/>
                <w:color w:val="auto"/>
              </w:rPr>
            </w:pPr>
          </w:p>
        </w:tc>
      </w:tr>
      <w:tr>
        <w:trPr>
          <w:trHeight w:val="396"/>
        </w:trPr>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1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6"/>
        </w:trPr>
        <w:tc>
          <w:tcPr>
            <w:tcW w:w="3840" w:type="dxa"/>
            <w:vAlign w:val="bottom"/>
            <w:tcBorders>
              <w:bottom w:val="single" w:sz="8" w:color="0000EE"/>
            </w:tcBorders>
            <w:gridSpan w:val="9"/>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0000EE"/>
              </w:rPr>
              <w:t>Report of Independent Registered Public Accounting Firm</w:t>
            </w:r>
          </w:p>
        </w:tc>
        <w:tc>
          <w:tcPr>
            <w:tcW w:w="6300" w:type="dxa"/>
            <w:vAlign w:val="bottom"/>
            <w:tcBorders>
              <w:bottom w:val="single" w:sz="8" w:color="CCEEFF"/>
            </w:tcBorders>
            <w:gridSpan w:val="3"/>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27" w:lineRule="exact"/>
              <w:rPr>
                <w:sz w:val="20"/>
                <w:szCs w:val="20"/>
                <w:color w:val="auto"/>
              </w:rPr>
            </w:pPr>
            <w:r>
              <w:rPr>
                <w:rFonts w:ascii="Times New Roman" w:cs="Times New Roman" w:eastAsia="Times New Roman" w:hAnsi="Times New Roman"/>
                <w:sz w:val="14"/>
                <w:szCs w:val="14"/>
                <w:color w:val="auto"/>
              </w:rPr>
              <w:t>F-4</w:t>
            </w:r>
          </w:p>
        </w:tc>
      </w:tr>
      <w:tr>
        <w:trPr>
          <w:trHeight w:val="168"/>
        </w:trPr>
        <w:tc>
          <w:tcPr>
            <w:tcW w:w="1000" w:type="dxa"/>
            <w:vAlign w:val="bottom"/>
            <w:tcBorders>
              <w:bottom w:val="single" w:sz="8" w:color="0000EE"/>
            </w:tcBorders>
            <w:gridSpan w:val="2"/>
          </w:tcPr>
          <w:p>
            <w:pPr>
              <w:spacing w:after="0" w:line="160" w:lineRule="exact"/>
              <w:rPr>
                <w:sz w:val="20"/>
                <w:szCs w:val="20"/>
                <w:color w:val="auto"/>
              </w:rPr>
            </w:pPr>
            <w:r>
              <w:rPr>
                <w:rFonts w:ascii="Times New Roman" w:cs="Times New Roman" w:eastAsia="Times New Roman" w:hAnsi="Times New Roman"/>
                <w:sz w:val="16"/>
                <w:szCs w:val="16"/>
                <w:color w:val="0000EE"/>
              </w:rPr>
              <w:t>Balance Sheets</w:t>
            </w:r>
          </w:p>
        </w:tc>
        <w:tc>
          <w:tcPr>
            <w:tcW w:w="9140" w:type="dxa"/>
            <w:vAlign w:val="bottom"/>
            <w:gridSpan w:val="10"/>
          </w:tcPr>
          <w:p>
            <w:pPr>
              <w:spacing w:after="0"/>
              <w:rPr>
                <w:sz w:val="14"/>
                <w:szCs w:val="14"/>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F-5</w:t>
            </w:r>
          </w:p>
        </w:tc>
      </w:tr>
      <w:tr>
        <w:trPr>
          <w:trHeight w:val="185"/>
        </w:trPr>
        <w:tc>
          <w:tcPr>
            <w:tcW w:w="1700" w:type="dxa"/>
            <w:vAlign w:val="bottom"/>
            <w:tcBorders>
              <w:bottom w:val="single" w:sz="8" w:color="0000EE"/>
              <w:right w:val="single" w:sz="8" w:color="CCEEFF"/>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Statements of Operations</w:t>
            </w:r>
          </w:p>
        </w:tc>
        <w:tc>
          <w:tcPr>
            <w:tcW w:w="8440" w:type="dxa"/>
            <w:vAlign w:val="bottom"/>
            <w:tcBorders>
              <w:bottom w:val="single" w:sz="8" w:color="CCEEFF"/>
            </w:tcBorders>
            <w:gridSpan w:val="9"/>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F-6</w:t>
            </w:r>
          </w:p>
        </w:tc>
      </w:tr>
      <w:tr>
        <w:trPr>
          <w:trHeight w:val="168"/>
        </w:trPr>
        <w:tc>
          <w:tcPr>
            <w:tcW w:w="10140" w:type="dxa"/>
            <w:vAlign w:val="bottom"/>
            <w:gridSpan w:val="12"/>
          </w:tcPr>
          <w:p>
            <w:pPr>
              <w:spacing w:after="0" w:line="160" w:lineRule="exact"/>
              <w:rPr>
                <w:sz w:val="20"/>
                <w:szCs w:val="20"/>
                <w:color w:val="auto"/>
              </w:rPr>
            </w:pPr>
            <w:r>
              <w:rPr>
                <w:rFonts w:ascii="Times New Roman" w:cs="Times New Roman" w:eastAsia="Times New Roman" w:hAnsi="Times New Roman"/>
                <w:sz w:val="16"/>
                <w:szCs w:val="16"/>
                <w:color w:val="0000EE"/>
              </w:rPr>
              <w:t>Statements of Changes in Stockholders’ Deficit</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F-7</w:t>
            </w:r>
          </w:p>
        </w:tc>
      </w:tr>
      <w:tr>
        <w:trPr>
          <w:trHeight w:val="168"/>
        </w:trPr>
        <w:tc>
          <w:tcPr>
            <w:tcW w:w="3100" w:type="dxa"/>
            <w:vAlign w:val="bottom"/>
            <w:tcBorders>
              <w:top w:val="single" w:sz="8" w:color="0000EE"/>
            </w:tcBorders>
            <w:gridSpan w:val="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Statements of Cash Flows</w:t>
            </w:r>
          </w:p>
        </w:tc>
        <w:tc>
          <w:tcPr>
            <w:tcW w:w="7040" w:type="dxa"/>
            <w:vAlign w:val="bottom"/>
            <w:gridSpan w:val="6"/>
            <w:shd w:val="clear" w:color="auto" w:fill="CCEEFF"/>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F-8</w:t>
            </w:r>
          </w:p>
        </w:tc>
      </w:tr>
      <w:tr>
        <w:trPr>
          <w:trHeight w:val="37"/>
        </w:trPr>
        <w:tc>
          <w:tcPr>
            <w:tcW w:w="9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r>
        <w:trPr>
          <w:trHeight w:val="160"/>
        </w:trPr>
        <w:tc>
          <w:tcPr>
            <w:tcW w:w="10140" w:type="dxa"/>
            <w:vAlign w:val="bottom"/>
            <w:gridSpan w:val="12"/>
          </w:tcPr>
          <w:p>
            <w:pPr>
              <w:spacing w:after="0" w:line="160" w:lineRule="exact"/>
              <w:rPr>
                <w:sz w:val="20"/>
                <w:szCs w:val="20"/>
                <w:color w:val="auto"/>
              </w:rPr>
            </w:pPr>
            <w:r>
              <w:rPr>
                <w:rFonts w:ascii="Times New Roman" w:cs="Times New Roman" w:eastAsia="Times New Roman" w:hAnsi="Times New Roman"/>
                <w:sz w:val="16"/>
                <w:szCs w:val="16"/>
                <w:color w:val="0000EE"/>
              </w:rPr>
              <w:t>Notes to Financial Statements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F-9</w:t>
            </w:r>
          </w:p>
        </w:tc>
      </w:tr>
      <w:tr>
        <w:trPr>
          <w:trHeight w:val="410"/>
        </w:trPr>
        <w:tc>
          <w:tcPr>
            <w:tcW w:w="9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gridSpan w:val="3"/>
          </w:tcPr>
          <w:p>
            <w:pPr>
              <w:jc w:val="center"/>
              <w:ind w:right="2720"/>
              <w:spacing w:after="0"/>
              <w:rPr>
                <w:sz w:val="20"/>
                <w:szCs w:val="20"/>
                <w:color w:val="auto"/>
              </w:rPr>
            </w:pPr>
            <w:r>
              <w:rPr>
                <w:rFonts w:ascii="Times New Roman" w:cs="Times New Roman" w:eastAsia="Times New Roman" w:hAnsi="Times New Roman"/>
                <w:sz w:val="16"/>
                <w:szCs w:val="16"/>
                <w:b w:val="1"/>
                <w:bCs w:val="1"/>
                <w:color w:val="auto"/>
              </w:rPr>
              <w:t>Serve Robotics Inc. and Patricia Acquisition Corp.</w:t>
            </w:r>
          </w:p>
        </w:tc>
        <w:tc>
          <w:tcPr>
            <w:tcW w:w="1100" w:type="dxa"/>
            <w:vAlign w:val="bottom"/>
          </w:tcPr>
          <w:p>
            <w:pPr>
              <w:spacing w:after="0"/>
              <w:rPr>
                <w:sz w:val="24"/>
                <w:szCs w:val="24"/>
                <w:color w:val="auto"/>
              </w:rPr>
            </w:pPr>
          </w:p>
        </w:tc>
      </w:tr>
      <w:tr>
        <w:trPr>
          <w:trHeight w:val="393"/>
        </w:trPr>
        <w:tc>
          <w:tcPr>
            <w:tcW w:w="101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Unaudited Combined Pro Forma Financial Statements for the Year Ended December 31, 2022 and the Nine Months Ended September 30, 2023</w:t>
            </w:r>
          </w:p>
        </w:tc>
        <w:tc>
          <w:tcPr>
            <w:tcW w:w="1100" w:type="dxa"/>
            <w:vAlign w:val="bottom"/>
          </w:tcPr>
          <w:p>
            <w:pPr>
              <w:spacing w:after="0"/>
              <w:rPr>
                <w:sz w:val="24"/>
                <w:szCs w:val="24"/>
                <w:color w:val="auto"/>
              </w:rPr>
            </w:pPr>
          </w:p>
        </w:tc>
      </w:tr>
      <w:tr>
        <w:trPr>
          <w:trHeight w:val="396"/>
        </w:trPr>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1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47"/>
        </w:trPr>
        <w:tc>
          <w:tcPr>
            <w:tcW w:w="10140" w:type="dxa"/>
            <w:vAlign w:val="bottom"/>
            <w:gridSpan w:val="1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0000EE"/>
              </w:rPr>
              <w:t>Unaudited Pro Forma Combined Financial Information</w:t>
            </w:r>
          </w:p>
        </w:tc>
        <w:tc>
          <w:tcPr>
            <w:tcW w:w="110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4"/>
                <w:szCs w:val="14"/>
                <w:color w:val="auto"/>
              </w:rPr>
              <w:t>F-27</w:t>
            </w:r>
          </w:p>
        </w:tc>
      </w:tr>
      <w:tr>
        <w:trPr>
          <w:trHeight w:val="29"/>
        </w:trPr>
        <w:tc>
          <w:tcPr>
            <w:tcW w:w="9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right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r>
      <w:tr>
        <w:trPr>
          <w:trHeight w:val="168"/>
        </w:trPr>
        <w:tc>
          <w:tcPr>
            <w:tcW w:w="6960" w:type="dxa"/>
            <w:vAlign w:val="bottom"/>
            <w:tcBorders>
              <w:bottom w:val="single" w:sz="8" w:color="0000EE"/>
            </w:tcBorders>
            <w:gridSpan w:val="11"/>
          </w:tcPr>
          <w:p>
            <w:pPr>
              <w:spacing w:after="0" w:line="160" w:lineRule="exact"/>
              <w:rPr>
                <w:sz w:val="20"/>
                <w:szCs w:val="20"/>
                <w:color w:val="auto"/>
              </w:rPr>
            </w:pPr>
            <w:r>
              <w:rPr>
                <w:rFonts w:ascii="Times New Roman" w:cs="Times New Roman" w:eastAsia="Times New Roman" w:hAnsi="Times New Roman"/>
                <w:sz w:val="16"/>
                <w:szCs w:val="16"/>
                <w:color w:val="0000EE"/>
              </w:rPr>
              <w:t>Unaudited Pro Forma Combined Statement of Operations for the Nine Months Ended September 30, 2023</w:t>
            </w:r>
          </w:p>
        </w:tc>
        <w:tc>
          <w:tcPr>
            <w:tcW w:w="3180" w:type="dxa"/>
            <w:vAlign w:val="bottom"/>
          </w:tcPr>
          <w:p>
            <w:pPr>
              <w:spacing w:after="0"/>
              <w:rPr>
                <w:sz w:val="14"/>
                <w:szCs w:val="14"/>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F-28</w:t>
            </w:r>
          </w:p>
        </w:tc>
      </w:tr>
      <w:tr>
        <w:trPr>
          <w:trHeight w:val="185"/>
        </w:trPr>
        <w:tc>
          <w:tcPr>
            <w:tcW w:w="10140" w:type="dxa"/>
            <w:vAlign w:val="bottom"/>
            <w:gridSpan w:val="1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Unaudited Pro Forma Combined Statement of Operations for the Year Ended December 31, 2022</w:t>
            </w: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F-29</w:t>
            </w:r>
          </w:p>
        </w:tc>
      </w:tr>
      <w:tr>
        <w:trPr>
          <w:trHeight w:val="160"/>
        </w:trPr>
        <w:tc>
          <w:tcPr>
            <w:tcW w:w="6340" w:type="dxa"/>
            <w:vAlign w:val="bottom"/>
            <w:tcBorders>
              <w:top w:val="single" w:sz="8" w:color="0000EE"/>
            </w:tcBorders>
            <w:gridSpan w:val="10"/>
          </w:tcPr>
          <w:p>
            <w:pPr>
              <w:spacing w:after="0" w:line="160" w:lineRule="exact"/>
              <w:rPr>
                <w:sz w:val="20"/>
                <w:szCs w:val="20"/>
                <w:color w:val="auto"/>
              </w:rPr>
            </w:pPr>
            <w:r>
              <w:rPr>
                <w:rFonts w:ascii="Times New Roman" w:cs="Times New Roman" w:eastAsia="Times New Roman" w:hAnsi="Times New Roman"/>
                <w:sz w:val="16"/>
                <w:szCs w:val="16"/>
                <w:color w:val="0000EE"/>
              </w:rPr>
              <w:t>Notes to Unaudited Pro Forma Financial Statements</w:t>
            </w:r>
          </w:p>
        </w:tc>
        <w:tc>
          <w:tcPr>
            <w:tcW w:w="3800" w:type="dxa"/>
            <w:vAlign w:val="bottom"/>
            <w:tcBorders>
              <w:top w:val="single" w:sz="8" w:color="CCEEFF"/>
            </w:tcBorders>
            <w:gridSpan w:val="2"/>
          </w:tcPr>
          <w:p>
            <w:pPr>
              <w:spacing w:after="0"/>
              <w:rPr>
                <w:sz w:val="13"/>
                <w:szCs w:val="13"/>
                <w:color w:val="auto"/>
              </w:rPr>
            </w:pPr>
          </w:p>
        </w:tc>
        <w:tc>
          <w:tcPr>
            <w:tcW w:w="11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F-30</w:t>
            </w:r>
          </w:p>
        </w:tc>
      </w:tr>
      <w:tr>
        <w:trPr>
          <w:trHeight w:val="410"/>
        </w:trPr>
        <w:tc>
          <w:tcPr>
            <w:tcW w:w="9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gridSpan w:val="3"/>
          </w:tcPr>
          <w:p>
            <w:pPr>
              <w:jc w:val="center"/>
              <w:ind w:right="2740"/>
              <w:spacing w:after="0"/>
              <w:rPr>
                <w:sz w:val="20"/>
                <w:szCs w:val="20"/>
                <w:color w:val="auto"/>
              </w:rPr>
            </w:pPr>
            <w:r>
              <w:rPr>
                <w:rFonts w:ascii="Times New Roman" w:cs="Times New Roman" w:eastAsia="Times New Roman" w:hAnsi="Times New Roman"/>
                <w:sz w:val="16"/>
                <w:szCs w:val="16"/>
                <w:b w:val="1"/>
                <w:bCs w:val="1"/>
                <w:color w:val="auto"/>
              </w:rPr>
              <w:t>Patricia Acquisition Corp.</w:t>
            </w:r>
          </w:p>
        </w:tc>
        <w:tc>
          <w:tcPr>
            <w:tcW w:w="1100" w:type="dxa"/>
            <w:vAlign w:val="bottom"/>
          </w:tcPr>
          <w:p>
            <w:pPr>
              <w:spacing w:after="0"/>
              <w:rPr>
                <w:sz w:val="24"/>
                <w:szCs w:val="24"/>
                <w:color w:val="auto"/>
              </w:rPr>
            </w:pPr>
          </w:p>
        </w:tc>
      </w:tr>
      <w:tr>
        <w:trPr>
          <w:trHeight w:val="393"/>
        </w:trPr>
        <w:tc>
          <w:tcPr>
            <w:tcW w:w="101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Audited Financial Statements for the Years Ended December 31, 2022 and 2021</w:t>
            </w:r>
          </w:p>
        </w:tc>
        <w:tc>
          <w:tcPr>
            <w:tcW w:w="1100" w:type="dxa"/>
            <w:vAlign w:val="bottom"/>
          </w:tcPr>
          <w:p>
            <w:pPr>
              <w:spacing w:after="0"/>
              <w:rPr>
                <w:sz w:val="24"/>
                <w:szCs w:val="24"/>
                <w:color w:val="auto"/>
              </w:rPr>
            </w:pPr>
          </w:p>
        </w:tc>
      </w:tr>
      <w:tr>
        <w:trPr>
          <w:trHeight w:val="396"/>
        </w:trPr>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1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6"/>
        </w:trPr>
        <w:tc>
          <w:tcPr>
            <w:tcW w:w="3840" w:type="dxa"/>
            <w:vAlign w:val="bottom"/>
            <w:tcBorders>
              <w:bottom w:val="single" w:sz="8" w:color="0000EE"/>
            </w:tcBorders>
            <w:gridSpan w:val="9"/>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0000EE"/>
              </w:rPr>
              <w:t>Report of Independent Registered Public Accounting Firm</w:t>
            </w:r>
          </w:p>
        </w:tc>
        <w:tc>
          <w:tcPr>
            <w:tcW w:w="6300" w:type="dxa"/>
            <w:vAlign w:val="bottom"/>
            <w:tcBorders>
              <w:bottom w:val="single" w:sz="8" w:color="CCEEFF"/>
            </w:tcBorders>
            <w:gridSpan w:val="3"/>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27" w:lineRule="exact"/>
              <w:rPr>
                <w:sz w:val="20"/>
                <w:szCs w:val="20"/>
                <w:color w:val="auto"/>
              </w:rPr>
            </w:pPr>
            <w:r>
              <w:rPr>
                <w:rFonts w:ascii="Times New Roman" w:cs="Times New Roman" w:eastAsia="Times New Roman" w:hAnsi="Times New Roman"/>
                <w:sz w:val="14"/>
                <w:szCs w:val="14"/>
                <w:color w:val="auto"/>
              </w:rPr>
              <w:t>F-32</w:t>
            </w:r>
          </w:p>
        </w:tc>
      </w:tr>
      <w:tr>
        <w:trPr>
          <w:trHeight w:val="160"/>
        </w:trPr>
        <w:tc>
          <w:tcPr>
            <w:tcW w:w="10140" w:type="dxa"/>
            <w:vAlign w:val="bottom"/>
            <w:gridSpan w:val="12"/>
          </w:tcPr>
          <w:p>
            <w:pPr>
              <w:spacing w:after="0" w:line="160" w:lineRule="exact"/>
              <w:rPr>
                <w:sz w:val="20"/>
                <w:szCs w:val="20"/>
                <w:color w:val="auto"/>
              </w:rPr>
            </w:pPr>
            <w:r>
              <w:rPr>
                <w:rFonts w:ascii="Times New Roman" w:cs="Times New Roman" w:eastAsia="Times New Roman" w:hAnsi="Times New Roman"/>
                <w:sz w:val="16"/>
                <w:szCs w:val="16"/>
                <w:color w:val="0000EE"/>
              </w:rPr>
              <w:t>Balance Sheet</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F-34</w:t>
            </w:r>
          </w:p>
        </w:tc>
      </w:tr>
      <w:tr>
        <w:trPr>
          <w:trHeight w:val="28"/>
        </w:trPr>
        <w:tc>
          <w:tcPr>
            <w:tcW w:w="9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8"/>
        </w:trPr>
        <w:tc>
          <w:tcPr>
            <w:tcW w:w="10140" w:type="dxa"/>
            <w:vAlign w:val="bottom"/>
            <w:gridSpan w:val="1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Statement of Operations</w:t>
            </w: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F-35</w:t>
            </w:r>
          </w:p>
        </w:tc>
      </w:tr>
      <w:tr>
        <w:trPr>
          <w:trHeight w:val="37"/>
        </w:trPr>
        <w:tc>
          <w:tcPr>
            <w:tcW w:w="9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00" w:type="dxa"/>
            <w:vAlign w:val="bottom"/>
            <w:tcBorders>
              <w:right w:val="single" w:sz="8" w:color="CCEEFF"/>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r>
        <w:trPr>
          <w:trHeight w:val="168"/>
        </w:trPr>
        <w:tc>
          <w:tcPr>
            <w:tcW w:w="10140" w:type="dxa"/>
            <w:vAlign w:val="bottom"/>
            <w:gridSpan w:val="12"/>
          </w:tcPr>
          <w:p>
            <w:pPr>
              <w:spacing w:after="0" w:line="160" w:lineRule="exact"/>
              <w:rPr>
                <w:sz w:val="20"/>
                <w:szCs w:val="20"/>
                <w:color w:val="auto"/>
              </w:rPr>
            </w:pPr>
            <w:r>
              <w:rPr>
                <w:rFonts w:ascii="Times New Roman" w:cs="Times New Roman" w:eastAsia="Times New Roman" w:hAnsi="Times New Roman"/>
                <w:sz w:val="16"/>
                <w:szCs w:val="16"/>
                <w:color w:val="0000EE"/>
              </w:rPr>
              <w:t>Statement of Changes in Stockholders’ Deficit</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F-36</w:t>
            </w:r>
          </w:p>
        </w:tc>
      </w:tr>
      <w:tr>
        <w:trPr>
          <w:trHeight w:val="185"/>
        </w:trPr>
        <w:tc>
          <w:tcPr>
            <w:tcW w:w="1700" w:type="dxa"/>
            <w:vAlign w:val="bottom"/>
            <w:tcBorders>
              <w:top w:val="single" w:sz="8" w:color="0000EE"/>
              <w:bottom w:val="single" w:sz="8" w:color="0000EE"/>
              <w:right w:val="single" w:sz="8" w:color="CCEEFF"/>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Statement of Cash Flows</w:t>
            </w:r>
          </w:p>
        </w:tc>
        <w:tc>
          <w:tcPr>
            <w:tcW w:w="134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7100" w:type="dxa"/>
            <w:vAlign w:val="bottom"/>
            <w:tcBorders>
              <w:bottom w:val="single" w:sz="8" w:color="CCEEFF"/>
            </w:tcBorders>
            <w:gridSpan w:val="7"/>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F-37</w:t>
            </w:r>
          </w:p>
        </w:tc>
      </w:tr>
      <w:tr>
        <w:trPr>
          <w:trHeight w:val="160"/>
        </w:trPr>
        <w:tc>
          <w:tcPr>
            <w:tcW w:w="10140" w:type="dxa"/>
            <w:vAlign w:val="bottom"/>
            <w:gridSpan w:val="12"/>
          </w:tcPr>
          <w:p>
            <w:pPr>
              <w:spacing w:after="0" w:line="160" w:lineRule="exact"/>
              <w:rPr>
                <w:sz w:val="20"/>
                <w:szCs w:val="20"/>
                <w:color w:val="auto"/>
              </w:rPr>
            </w:pPr>
            <w:r>
              <w:rPr>
                <w:rFonts w:ascii="Times New Roman" w:cs="Times New Roman" w:eastAsia="Times New Roman" w:hAnsi="Times New Roman"/>
                <w:sz w:val="16"/>
                <w:szCs w:val="16"/>
                <w:color w:val="0000EE"/>
              </w:rPr>
              <w:t>Notes to Financial Statements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F-38</w:t>
            </w:r>
          </w:p>
        </w:tc>
      </w:tr>
      <w:tr>
        <w:trPr>
          <w:trHeight w:val="610"/>
        </w:trPr>
        <w:tc>
          <w:tcPr>
            <w:tcW w:w="9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3"/>
          </w:tcPr>
          <w:p>
            <w:pPr>
              <w:jc w:val="center"/>
              <w:ind w:right="2720"/>
              <w:spacing w:after="0"/>
              <w:rPr>
                <w:sz w:val="20"/>
                <w:szCs w:val="20"/>
                <w:color w:val="auto"/>
              </w:rPr>
            </w:pPr>
            <w:r>
              <w:rPr>
                <w:rFonts w:ascii="Times New Roman" w:cs="Times New Roman" w:eastAsia="Times New Roman" w:hAnsi="Times New Roman"/>
                <w:sz w:val="16"/>
                <w:szCs w:val="16"/>
                <w:color w:val="auto"/>
                <w:w w:val="98"/>
              </w:rPr>
              <w:t>F-1</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1" w:right="3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SERVE ROBOTICS, INC.</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STATEMENTS AND INDEPENDENT AUDITOR’S REPORT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18415</wp:posOffset>
            </wp:positionV>
            <wp:extent cx="714502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1"/>
        </w:trPr>
        <w:tc>
          <w:tcPr>
            <w:tcW w:w="90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EE"/>
              </w:rPr>
              <w:t xml:space="preserve">REPORT OF INDEPENDENT REGISTERED PUBLIC ACCOUNTING FIRM </w:t>
            </w:r>
            <w:r>
              <w:rPr>
                <w:rFonts w:ascii="Times New Roman" w:cs="Times New Roman" w:eastAsia="Times New Roman" w:hAnsi="Times New Roman"/>
                <w:sz w:val="16"/>
                <w:szCs w:val="16"/>
                <w:color w:val="0000EE"/>
              </w:rPr>
              <w:t>(PCAOB ID: 3501)</w:t>
            </w:r>
          </w:p>
        </w:tc>
        <w:tc>
          <w:tcPr>
            <w:tcW w:w="21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F-4</w:t>
            </w:r>
          </w:p>
        </w:tc>
      </w:tr>
      <w:tr>
        <w:trPr>
          <w:trHeight w:val="196"/>
        </w:trPr>
        <w:tc>
          <w:tcPr>
            <w:tcW w:w="14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r>
      <w:tr>
        <w:trPr>
          <w:trHeight w:val="196"/>
        </w:trPr>
        <w:tc>
          <w:tcPr>
            <w:tcW w:w="90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STATEMENTS AS OF AND FOR THE PERIODS ENDED DECEMBER 31, 2022 AND 2021:</w:t>
            </w:r>
          </w:p>
        </w:tc>
        <w:tc>
          <w:tcPr>
            <w:tcW w:w="2180" w:type="dxa"/>
            <w:vAlign w:val="bottom"/>
            <w:shd w:val="clear" w:color="auto" w:fill="CCEEFF"/>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76"/>
        </w:trPr>
        <w:tc>
          <w:tcPr>
            <w:tcW w:w="9060" w:type="dxa"/>
            <w:vAlign w:val="bottom"/>
            <w:gridSpan w:val="8"/>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2180" w:type="dxa"/>
            <w:vAlign w:val="bottom"/>
            <w:shd w:val="clear" w:color="auto" w:fill="CCEEFF"/>
          </w:tcPr>
          <w:p>
            <w:pPr>
              <w:ind w:left="1520"/>
              <w:spacing w:after="0" w:line="160" w:lineRule="exact"/>
              <w:rPr>
                <w:sz w:val="20"/>
                <w:szCs w:val="20"/>
                <w:color w:val="auto"/>
              </w:rPr>
            </w:pPr>
            <w:r>
              <w:rPr>
                <w:rFonts w:ascii="Times New Roman" w:cs="Times New Roman" w:eastAsia="Times New Roman" w:hAnsi="Times New Roman"/>
                <w:sz w:val="16"/>
                <w:szCs w:val="16"/>
                <w:color w:val="auto"/>
              </w:rPr>
              <w:t>F-5</w:t>
            </w:r>
          </w:p>
        </w:tc>
      </w:tr>
      <w:tr>
        <w:trPr>
          <w:trHeight w:val="196"/>
        </w:trPr>
        <w:tc>
          <w:tcPr>
            <w:tcW w:w="140" w:type="dxa"/>
            <w:vAlign w:val="bottom"/>
            <w:tcBorders>
              <w:top w:val="single" w:sz="8" w:color="CCEEFF"/>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r>
      <w:tr>
        <w:trPr>
          <w:trHeight w:val="176"/>
        </w:trPr>
        <w:tc>
          <w:tcPr>
            <w:tcW w:w="9060" w:type="dxa"/>
            <w:vAlign w:val="bottom"/>
            <w:gridSpan w:val="8"/>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2180" w:type="dxa"/>
            <w:vAlign w:val="bottom"/>
            <w:shd w:val="clear" w:color="auto" w:fill="CCEEFF"/>
          </w:tcPr>
          <w:p>
            <w:pPr>
              <w:ind w:left="1520"/>
              <w:spacing w:after="0" w:line="160" w:lineRule="exact"/>
              <w:rPr>
                <w:sz w:val="20"/>
                <w:szCs w:val="20"/>
                <w:color w:val="auto"/>
              </w:rPr>
            </w:pPr>
            <w:r>
              <w:rPr>
                <w:rFonts w:ascii="Times New Roman" w:cs="Times New Roman" w:eastAsia="Times New Roman" w:hAnsi="Times New Roman"/>
                <w:sz w:val="16"/>
                <w:szCs w:val="16"/>
                <w:color w:val="auto"/>
              </w:rPr>
              <w:t>F-6</w:t>
            </w:r>
          </w:p>
        </w:tc>
      </w:tr>
      <w:tr>
        <w:trPr>
          <w:trHeight w:val="196"/>
        </w:trPr>
        <w:tc>
          <w:tcPr>
            <w:tcW w:w="140" w:type="dxa"/>
            <w:vAlign w:val="bottom"/>
            <w:tcBorders>
              <w:top w:val="single" w:sz="8" w:color="CCEEFF"/>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r>
      <w:tr>
        <w:trPr>
          <w:trHeight w:val="176"/>
        </w:trPr>
        <w:tc>
          <w:tcPr>
            <w:tcW w:w="9060" w:type="dxa"/>
            <w:vAlign w:val="bottom"/>
            <w:gridSpan w:val="8"/>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0000EE"/>
              </w:rPr>
              <w:t>Consolidated Statements of Stockholders’ Equity (Deficit)</w:t>
            </w:r>
          </w:p>
        </w:tc>
        <w:tc>
          <w:tcPr>
            <w:tcW w:w="2180" w:type="dxa"/>
            <w:vAlign w:val="bottom"/>
            <w:shd w:val="clear" w:color="auto" w:fill="CCEEFF"/>
          </w:tcPr>
          <w:p>
            <w:pPr>
              <w:ind w:left="1520"/>
              <w:spacing w:after="0" w:line="160" w:lineRule="exact"/>
              <w:rPr>
                <w:sz w:val="20"/>
                <w:szCs w:val="20"/>
                <w:color w:val="auto"/>
              </w:rPr>
            </w:pPr>
            <w:r>
              <w:rPr>
                <w:rFonts w:ascii="Times New Roman" w:cs="Times New Roman" w:eastAsia="Times New Roman" w:hAnsi="Times New Roman"/>
                <w:sz w:val="16"/>
                <w:szCs w:val="16"/>
                <w:color w:val="auto"/>
              </w:rPr>
              <w:t>F-7</w:t>
            </w:r>
          </w:p>
        </w:tc>
      </w:tr>
      <w:tr>
        <w:trPr>
          <w:trHeight w:val="196"/>
        </w:trPr>
        <w:tc>
          <w:tcPr>
            <w:tcW w:w="140" w:type="dxa"/>
            <w:vAlign w:val="bottom"/>
            <w:tcBorders>
              <w:top w:val="single" w:sz="8" w:color="CCEEFF"/>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r>
      <w:tr>
        <w:trPr>
          <w:trHeight w:val="176"/>
        </w:trPr>
        <w:tc>
          <w:tcPr>
            <w:tcW w:w="9060" w:type="dxa"/>
            <w:vAlign w:val="bottom"/>
            <w:gridSpan w:val="8"/>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0000EE"/>
              </w:rPr>
              <w:t>Consolidated Statements of Cash Flow</w:t>
            </w:r>
          </w:p>
        </w:tc>
        <w:tc>
          <w:tcPr>
            <w:tcW w:w="2180" w:type="dxa"/>
            <w:vAlign w:val="bottom"/>
            <w:shd w:val="clear" w:color="auto" w:fill="CCEEFF"/>
          </w:tcPr>
          <w:p>
            <w:pPr>
              <w:ind w:left="1520"/>
              <w:spacing w:after="0" w:line="160" w:lineRule="exact"/>
              <w:rPr>
                <w:sz w:val="20"/>
                <w:szCs w:val="20"/>
                <w:color w:val="auto"/>
              </w:rPr>
            </w:pPr>
            <w:r>
              <w:rPr>
                <w:rFonts w:ascii="Times New Roman" w:cs="Times New Roman" w:eastAsia="Times New Roman" w:hAnsi="Times New Roman"/>
                <w:sz w:val="16"/>
                <w:szCs w:val="16"/>
                <w:color w:val="auto"/>
              </w:rPr>
              <w:t>F-8</w:t>
            </w:r>
          </w:p>
        </w:tc>
      </w:tr>
      <w:tr>
        <w:trPr>
          <w:trHeight w:val="196"/>
        </w:trPr>
        <w:tc>
          <w:tcPr>
            <w:tcW w:w="140" w:type="dxa"/>
            <w:vAlign w:val="bottom"/>
            <w:tcBorders>
              <w:top w:val="single" w:sz="8" w:color="CCEEFF"/>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r>
      <w:tr>
        <w:trPr>
          <w:trHeight w:val="176"/>
        </w:trPr>
        <w:tc>
          <w:tcPr>
            <w:tcW w:w="9060" w:type="dxa"/>
            <w:vAlign w:val="bottom"/>
            <w:gridSpan w:val="8"/>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2180" w:type="dxa"/>
            <w:vAlign w:val="bottom"/>
            <w:shd w:val="clear" w:color="auto" w:fill="CCEEFF"/>
          </w:tcPr>
          <w:p>
            <w:pPr>
              <w:ind w:left="1520"/>
              <w:spacing w:after="0" w:line="160" w:lineRule="exact"/>
              <w:rPr>
                <w:sz w:val="20"/>
                <w:szCs w:val="20"/>
                <w:color w:val="auto"/>
              </w:rPr>
            </w:pPr>
            <w:r>
              <w:rPr>
                <w:rFonts w:ascii="Times New Roman" w:cs="Times New Roman" w:eastAsia="Times New Roman" w:hAnsi="Times New Roman"/>
                <w:sz w:val="16"/>
                <w:szCs w:val="16"/>
                <w:color w:val="auto"/>
              </w:rPr>
              <w:t>F-9</w:t>
            </w:r>
          </w:p>
        </w:tc>
      </w:tr>
      <w:tr>
        <w:trPr>
          <w:trHeight w:val="594"/>
        </w:trPr>
        <w:tc>
          <w:tcPr>
            <w:tcW w:w="14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5080" w:type="dxa"/>
            <w:vAlign w:val="bottom"/>
            <w:tcBorders>
              <w:top w:val="single" w:sz="8" w:color="CCEEFF"/>
              <w:bottom w:val="single" w:sz="8" w:color="auto"/>
            </w:tcBorders>
            <w:gridSpan w:val="2"/>
          </w:tcPr>
          <w:p>
            <w:pPr>
              <w:ind w:left="1540"/>
              <w:spacing w:after="0"/>
              <w:rPr>
                <w:sz w:val="20"/>
                <w:szCs w:val="20"/>
                <w:color w:val="auto"/>
              </w:rPr>
            </w:pPr>
            <w:r>
              <w:rPr>
                <w:rFonts w:ascii="Times New Roman" w:cs="Times New Roman" w:eastAsia="Times New Roman" w:hAnsi="Times New Roman"/>
                <w:sz w:val="16"/>
                <w:szCs w:val="16"/>
                <w:color w:val="auto"/>
              </w:rPr>
              <w:t>F-3</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27" w:right="33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of Serve Robotics,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1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Serve Robotics, Inc. (the “Company”) as of December 31, 2022 and 2021, the related consolidated statements of operations, stockholders’ equity (deficit), and cash flows for the year ended December 31, 2022 and the period from January 15, 2021 (Inception) to December 31,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 ended December 31, 2022 and the period ended December 31, 2021,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21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the Company will continue as a going concern. As discussed in Note 2 to the financial statements, the Company’s has sustained net losses and used cash flows from operations. These factors raise substantial doubt about its ability to continue as a going concern. Management’s plans in regards to these matters are also described in Note 2. The financial statements do not include any adjustments that might result from the outcome of this uncertainty.</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dbbmckennon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Newport Beach, California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22, 2023 except for the effects of the reverse merger and recapitalization discussed in Note 3 to the financial statements, as to which the date is November 28,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135" w:name="page136"/>
    <w:bookmarkEnd w:id="135"/>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SERVE ROBOTICS, INC.</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86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2,715,719</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7,965,861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23,697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618,262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81,339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680" w:type="dxa"/>
            <w:vAlign w:val="bottom"/>
            <w:tcBorders>
              <w:top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3,439,017</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8,440,446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3,376,427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119,616</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1,215,968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512,659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96,647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8,544,071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8,656,709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8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162,034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37,434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 payable, current</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liability, current portion</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483,186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20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2,214,348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3,897,002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Note payable, net of current portion</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1,214,600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agreements for future equity</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13,150,745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 liability</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162,747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 liability</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708,143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1,862,980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6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20,996,217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Series Seed preferred stock, $0.0001 par value; 4,008,079 shares authorized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 3,091,672 and 2,834,033 shares issued and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as of December 31, 2022 and 2021, respectively</w:t>
            </w:r>
          </w:p>
        </w:tc>
        <w:tc>
          <w:tcPr>
            <w:tcW w:w="20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Series Seed-1 preferred stock, $0.0001 par value; 3,037,227 shares authorized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 2,440,411 shares issued and outstanding as of</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both December 31, 2022 and 2021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17"/>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Series Seed-2 preferred stock, $0.0001 par value; 2,599,497 shares authorized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 2,088,696 shares issued and outstanding as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both December 31, 2022 and 2021</w:t>
            </w:r>
          </w:p>
        </w:tc>
        <w:tc>
          <w:tcPr>
            <w:tcW w:w="20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Series Seed-3 preferred stock, $0.0001 par value; 445,347 shares authorized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 357,836 issued and outstanding as of both</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December 31, 2022 and 2021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Common stock, $0.0001 par value; 21,200,000 shares authorized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 7,161,654 and 7,111,123 shares issued, 6,826,352 and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7,111,123 shares outstanding as of December 31, 2022 and 2021, respectively</w:t>
            </w:r>
          </w:p>
        </w:tc>
        <w:tc>
          <w:tcPr>
            <w:tcW w:w="20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31,232,737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29,984,430</w:t>
            </w: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 receivable</w:t>
            </w: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(165,719)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(43,520,645)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(21,665,518)</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stockholders’ equity (deficit)</w:t>
            </w: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(12,452,146</w:t>
            </w:r>
          </w:p>
        </w:tc>
        <w:tc>
          <w:tcPr>
            <w:tcW w:w="14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8,320,395</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8,544,071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8,656,709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302" w:hanging="302"/>
        <w:spacing w:after="0" w:line="275" w:lineRule="auto"/>
        <w:tabs>
          <w:tab w:leader="none" w:pos="30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shares of preferred and common stock in the consolidated balance sheets above reflect the historical authorized shares of Serve. Upon the Merger, there were 10,000,000 authorized shares of preferred stock and 300,000,000 shares of common stock. Shares issued and outstanding have been retroactively restated to reflect the exchange ratio of 0.8035 as described in Note 3.</w:t>
      </w:r>
    </w:p>
    <w:p>
      <w:pPr>
        <w:spacing w:after="0" w:line="15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0"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color w:val="auto"/>
        </w:rPr>
        <w:t>SERVE ROBOTICS,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January 15,</w:t>
            </w: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(inception) to</w:t>
            </w: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1"/>
        </w:trPr>
        <w:tc>
          <w:tcPr>
            <w:tcW w:w="8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107,819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0" w:type="dxa"/>
            <w:vAlign w:val="bottom"/>
          </w:tcPr>
          <w:p>
            <w:pPr>
              <w:spacing w:after="0"/>
              <w:rPr>
                <w:sz w:val="18"/>
                <w:szCs w:val="18"/>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1,148,426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196"/>
        </w:trPr>
        <w:tc>
          <w:tcPr>
            <w:tcW w:w="86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 (loss)</w:t>
            </w: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(1,040,607)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3,786,124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2,465,570</w:t>
            </w:r>
          </w:p>
        </w:tc>
        <w:tc>
          <w:tcPr>
            <w:tcW w:w="100" w:type="dxa"/>
            <w:vAlign w:val="bottom"/>
          </w:tcPr>
          <w:p>
            <w:pPr>
              <w:spacing w:after="0"/>
              <w:rPr>
                <w:sz w:val="17"/>
                <w:szCs w:val="17"/>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2,035,063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924,501</w:t>
            </w:r>
          </w:p>
        </w:tc>
        <w:tc>
          <w:tcPr>
            <w:tcW w:w="100" w:type="dxa"/>
            <w:vAlign w:val="bottom"/>
            <w:shd w:val="clear" w:color="auto" w:fill="CCEEFF"/>
          </w:tcPr>
          <w:p>
            <w:pPr>
              <w:spacing w:after="0"/>
              <w:rPr>
                <w:sz w:val="17"/>
                <w:szCs w:val="17"/>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13,565,765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7,092,628</w:t>
            </w:r>
          </w:p>
        </w:tc>
        <w:tc>
          <w:tcPr>
            <w:tcW w:w="100" w:type="dxa"/>
            <w:vAlign w:val="bottom"/>
          </w:tcPr>
          <w:p>
            <w:pPr>
              <w:spacing w:after="0"/>
              <w:rPr>
                <w:sz w:val="17"/>
                <w:szCs w:val="17"/>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525,494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139,664</w:t>
            </w:r>
          </w:p>
        </w:tc>
        <w:tc>
          <w:tcPr>
            <w:tcW w:w="100" w:type="dxa"/>
            <w:vAlign w:val="bottom"/>
            <w:shd w:val="clear" w:color="auto" w:fill="CCEEFF"/>
          </w:tcPr>
          <w:p>
            <w:pPr>
              <w:spacing w:after="0"/>
              <w:rPr>
                <w:sz w:val="19"/>
                <w:szCs w:val="19"/>
                <w:color w:val="auto"/>
              </w:rPr>
            </w:pPr>
          </w:p>
        </w:tc>
      </w:tr>
      <w:tr>
        <w:trPr>
          <w:trHeight w:val="181"/>
        </w:trPr>
        <w:tc>
          <w:tcPr>
            <w:tcW w:w="8680" w:type="dxa"/>
            <w:vAlign w:val="bottom"/>
            <w:tcBorders>
              <w:top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19,912,446</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10,622,363</w:t>
            </w:r>
          </w:p>
        </w:tc>
        <w:tc>
          <w:tcPr>
            <w:tcW w:w="100" w:type="dxa"/>
            <w:vAlign w:val="bottom"/>
            <w:tcBorders>
              <w:top w:val="single" w:sz="8" w:color="CCEEFF"/>
            </w:tcBorders>
          </w:tcPr>
          <w:p>
            <w:pPr>
              <w:spacing w:after="0"/>
              <w:rPr>
                <w:sz w:val="15"/>
                <w:szCs w:val="15"/>
                <w:color w:val="auto"/>
              </w:rPr>
            </w:pPr>
          </w:p>
        </w:tc>
      </w:tr>
      <w:tr>
        <w:trPr>
          <w:trHeight w:val="196"/>
        </w:trPr>
        <w:tc>
          <w:tcPr>
            <w:tcW w:w="8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(20,953,053)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(10,622,363)</w:t>
            </w:r>
          </w:p>
        </w:tc>
      </w:tr>
      <w:tr>
        <w:trPr>
          <w:trHeight w:val="196"/>
        </w:trPr>
        <w:tc>
          <w:tcPr>
            <w:tcW w:w="8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13"/>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future equity obligations</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(265,744)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(11,043,155)</w:t>
            </w:r>
          </w:p>
        </w:tc>
      </w:tr>
      <w:tr>
        <w:trPr>
          <w:trHeight w:val="196"/>
        </w:trPr>
        <w:tc>
          <w:tcPr>
            <w:tcW w:w="86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(902,074)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(11,043,155)</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r>
      <w:tr>
        <w:trPr>
          <w:trHeight w:val="250"/>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(21,855,127</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(21,665,518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3"/>
        </w:trPr>
        <w:tc>
          <w:tcPr>
            <w:tcW w:w="8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diluted</w:t>
            </w:r>
          </w:p>
        </w:tc>
        <w:tc>
          <w:tcPr>
            <w:tcW w:w="80" w:type="dxa"/>
            <w:vAlign w:val="bottom"/>
          </w:tcPr>
          <w:p>
            <w:pPr>
              <w:spacing w:after="0"/>
              <w:rPr>
                <w:sz w:val="18"/>
                <w:szCs w:val="18"/>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6,896,769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5,622,548</w:t>
            </w:r>
          </w:p>
        </w:tc>
        <w:tc>
          <w:tcPr>
            <w:tcW w:w="100" w:type="dxa"/>
            <w:vAlign w:val="bottom"/>
          </w:tcPr>
          <w:p>
            <w:pPr>
              <w:spacing w:after="0"/>
              <w:rPr>
                <w:sz w:val="18"/>
                <w:szCs w:val="18"/>
                <w:color w:val="auto"/>
              </w:rPr>
            </w:pPr>
          </w:p>
        </w:tc>
      </w:tr>
      <w:tr>
        <w:trPr>
          <w:trHeight w:val="22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common share - basic and diluted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37" w:name="page138"/>
    <w:bookmarkEnd w:id="137"/>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SERVE ROBOTICS,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1000" w:type="dxa"/>
            <w:vAlign w:val="bottom"/>
            <w:gridSpan w:val="3"/>
          </w:tcPr>
          <w:p>
            <w:pPr>
              <w:jc w:val="center"/>
              <w:ind w:left="186"/>
              <w:spacing w:after="0"/>
              <w:rPr>
                <w:sz w:val="20"/>
                <w:szCs w:val="20"/>
                <w:color w:val="auto"/>
              </w:rPr>
            </w:pPr>
            <w:r>
              <w:rPr>
                <w:rFonts w:ascii="Times New Roman" w:cs="Times New Roman" w:eastAsia="Times New Roman" w:hAnsi="Times New Roman"/>
                <w:sz w:val="15"/>
                <w:szCs w:val="15"/>
                <w:b w:val="1"/>
                <w:bCs w:val="1"/>
                <w:color w:val="auto"/>
                <w:w w:val="97"/>
              </w:rPr>
              <w:t>Series Seed</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6"/>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6"/>
              </w:rPr>
              <w:t>Series Seed-1</w:t>
            </w: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Series Seed-2</w:t>
            </w:r>
          </w:p>
        </w:tc>
        <w:tc>
          <w:tcPr>
            <w:tcW w:w="980" w:type="dxa"/>
            <w:vAlign w:val="bottom"/>
            <w:gridSpan w:val="3"/>
          </w:tcPr>
          <w:p>
            <w:pPr>
              <w:jc w:val="center"/>
              <w:ind w:left="86"/>
              <w:spacing w:after="0"/>
              <w:rPr>
                <w:sz w:val="20"/>
                <w:szCs w:val="20"/>
                <w:color w:val="auto"/>
              </w:rPr>
            </w:pPr>
            <w:r>
              <w:rPr>
                <w:rFonts w:ascii="Times New Roman" w:cs="Times New Roman" w:eastAsia="Times New Roman" w:hAnsi="Times New Roman"/>
                <w:sz w:val="15"/>
                <w:szCs w:val="15"/>
                <w:b w:val="1"/>
                <w:bCs w:val="1"/>
                <w:color w:val="auto"/>
                <w:w w:val="96"/>
              </w:rPr>
              <w:t>Series Seed-3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6"/>
              </w:rPr>
              <w:t>Additional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Stockholders’</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32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Preferred Stock</w:t>
            </w:r>
          </w:p>
        </w:tc>
        <w:tc>
          <w:tcPr>
            <w:tcW w:w="1340" w:type="dxa"/>
            <w:vAlign w:val="bottom"/>
            <w:gridSpan w:val="6"/>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7"/>
              </w:rPr>
              <w:t>Preferred Stock</w:t>
            </w:r>
          </w:p>
        </w:tc>
        <w:tc>
          <w:tcPr>
            <w:tcW w:w="1320" w:type="dxa"/>
            <w:vAlign w:val="bottom"/>
            <w:gridSpan w:val="6"/>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Preferred Stock</w:t>
            </w:r>
          </w:p>
        </w:tc>
        <w:tc>
          <w:tcPr>
            <w:tcW w:w="1400" w:type="dxa"/>
            <w:vAlign w:val="bottom"/>
            <w:gridSpan w:val="5"/>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Paid-in</w:t>
            </w:r>
          </w:p>
        </w:tc>
        <w:tc>
          <w:tcPr>
            <w:tcW w:w="2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60" w:type="dxa"/>
            <w:vAlign w:val="bottom"/>
          </w:tcPr>
          <w:p>
            <w:pPr>
              <w:spacing w:after="0"/>
              <w:rPr>
                <w:sz w:val="17"/>
                <w:szCs w:val="17"/>
                <w:color w:val="auto"/>
              </w:rPr>
            </w:pPr>
          </w:p>
        </w:tc>
        <w:tc>
          <w:tcPr>
            <w:tcW w:w="6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7"/>
                <w:szCs w:val="17"/>
                <w:color w:val="auto"/>
              </w:rPr>
            </w:pPr>
          </w:p>
        </w:tc>
        <w:tc>
          <w:tcPr>
            <w:tcW w:w="6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Amount</w:t>
            </w:r>
          </w:p>
        </w:tc>
        <w:tc>
          <w:tcPr>
            <w:tcW w:w="80" w:type="dxa"/>
            <w:vAlign w:val="bottom"/>
          </w:tcPr>
          <w:p>
            <w:pPr>
              <w:spacing w:after="0"/>
              <w:rPr>
                <w:sz w:val="17"/>
                <w:szCs w:val="17"/>
                <w:color w:val="auto"/>
              </w:rPr>
            </w:pPr>
          </w:p>
        </w:tc>
        <w:tc>
          <w:tcPr>
            <w:tcW w:w="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7"/>
                <w:szCs w:val="17"/>
                <w:color w:val="auto"/>
              </w:rPr>
            </w:pPr>
          </w:p>
        </w:tc>
        <w:tc>
          <w:tcPr>
            <w:tcW w:w="7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5"/>
              </w:rPr>
              <w:t>Amount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Capital</w:t>
            </w:r>
          </w:p>
        </w:tc>
        <w:tc>
          <w:tcPr>
            <w:tcW w:w="2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Receivable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0" w:type="dxa"/>
            <w:vAlign w:val="bottom"/>
          </w:tcPr>
          <w:p>
            <w:pPr>
              <w:spacing w:after="0"/>
              <w:rPr>
                <w:sz w:val="1"/>
                <w:szCs w:val="1"/>
                <w:color w:val="auto"/>
              </w:rPr>
            </w:pPr>
          </w:p>
        </w:tc>
      </w:tr>
      <w:tr>
        <w:trPr>
          <w:trHeight w:val="158"/>
        </w:trPr>
        <w:tc>
          <w:tcPr>
            <w:tcW w:w="104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5"/>
                <w:szCs w:val="15"/>
                <w:b w:val="1"/>
                <w:bCs w:val="1"/>
                <w:color w:val="auto"/>
              </w:rPr>
              <w:t>Balances at</w:t>
            </w: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January 15,</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2021</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(inception)</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Issuance of</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founders’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9"/>
              </w:rPr>
              <w:t>3,535,400</w:t>
            </w: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net of</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repurchases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9"/>
              </w:rPr>
              <w:t>3,575,723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Issuance of</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Series Seed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preferred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2,834,033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6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10,999,715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10,999,998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SAFEs into</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preferred</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2,440,411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2,088,696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357,836</w:t>
            </w:r>
          </w:p>
        </w:tc>
        <w:tc>
          <w:tcPr>
            <w:tcW w:w="4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3"/>
              </w:rPr>
              <w:t>36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18,967,666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18,968,155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Stock-based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(21,665,518</w:t>
            </w: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(21,665,518</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1040" w:type="dxa"/>
            <w:vAlign w:val="bottom"/>
            <w:tcBorders>
              <w:top w:val="single" w:sz="8" w:color="CCEEFF"/>
            </w:tcBorders>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Balances at</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(21,665,518</w:t>
            </w: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2021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2,834,033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2,440,411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2,088,696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357,836</w:t>
            </w:r>
          </w:p>
        </w:tc>
        <w:tc>
          <w:tcPr>
            <w:tcW w:w="4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3"/>
              </w:rPr>
              <w:t>36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9"/>
              </w:rPr>
              <w:t>7,111,123</w:t>
            </w:r>
          </w:p>
        </w:tc>
        <w:tc>
          <w:tcPr>
            <w:tcW w:w="2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29,984,430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8,320,395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Series Seed</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preferred</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257,639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999,973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999,999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Restricted 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with recourse</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(165,719</w:t>
            </w: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(161,469</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2,820</w:t>
            </w:r>
          </w:p>
        </w:tc>
        <w:tc>
          <w:tcPr>
            <w:tcW w:w="2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stock</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awards</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(287,591</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(28</w:t>
            </w: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repurchased</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Stock-based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195,056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195,056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 issued</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 connection</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 note</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payable</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49,000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(21,855,127</w:t>
            </w: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(21,855,127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104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5"/>
                <w:szCs w:val="15"/>
                <w:b w:val="1"/>
                <w:bCs w:val="1"/>
                <w:color w:val="auto"/>
              </w:rPr>
              <w:t>Balances at</w:t>
            </w: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(165,719</w:t>
            </w:r>
            <w:r>
              <w:rPr>
                <w:rFonts w:ascii="Times New Roman" w:cs="Times New Roman" w:eastAsia="Times New Roman" w:hAnsi="Times New Roman"/>
                <w:sz w:val="32"/>
                <w:szCs w:val="32"/>
                <w:color w:val="auto"/>
                <w:vertAlign w:val="superscript"/>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7"/>
              </w:rPr>
              <w:t>(43,520,645</w:t>
            </w:r>
            <w:r>
              <w:rPr>
                <w:rFonts w:ascii="Times New Roman" w:cs="Times New Roman" w:eastAsia="Times New Roman" w:hAnsi="Times New Roman"/>
                <w:sz w:val="32"/>
                <w:szCs w:val="32"/>
                <w:color w:val="auto"/>
                <w:w w:val="97"/>
                <w:vertAlign w:val="superscript"/>
              </w:rPr>
              <w:t>)</w:t>
            </w:r>
          </w:p>
        </w:tc>
        <w:tc>
          <w:tcPr>
            <w:tcW w:w="10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(12,452,146</w:t>
            </w:r>
            <w:r>
              <w:rPr>
                <w:rFonts w:ascii="Times New Roman" w:cs="Times New Roman" w:eastAsia="Times New Roman" w:hAnsi="Times New Roman"/>
                <w:sz w:val="32"/>
                <w:szCs w:val="32"/>
                <w:color w:val="auto"/>
                <w:w w:val="97"/>
                <w:vertAlign w:val="superscript"/>
              </w:rPr>
              <w:t>)</w:t>
            </w:r>
          </w:p>
        </w:tc>
        <w:tc>
          <w:tcPr>
            <w:tcW w:w="0" w:type="dxa"/>
            <w:vAlign w:val="bottom"/>
          </w:tcPr>
          <w:p>
            <w:pPr>
              <w:spacing w:after="0"/>
              <w:rPr>
                <w:sz w:val="1"/>
                <w:szCs w:val="1"/>
                <w:color w:val="auto"/>
              </w:rPr>
            </w:pPr>
          </w:p>
        </w:tc>
      </w:tr>
      <w:tr>
        <w:trPr>
          <w:trHeight w:val="240"/>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2022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3,091,672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2,440,411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2,088,696</w:t>
            </w: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357,836</w:t>
            </w:r>
          </w:p>
        </w:tc>
        <w:tc>
          <w:tcPr>
            <w:tcW w:w="4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3"/>
              </w:rPr>
              <w:t>36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9"/>
              </w:rPr>
              <w:t>6,826,352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31,232,737</w:t>
            </w: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vMerge w:val="continue"/>
            <w:shd w:val="clear" w:color="auto" w:fill="CCEEFF"/>
          </w:tcPr>
          <w:p>
            <w:pPr>
              <w:spacing w:after="0"/>
              <w:rPr>
                <w:sz w:val="20"/>
                <w:szCs w:val="20"/>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340"/>
          </w:cols>
          <w:pgMar w:left="320" w:top="831" w:right="2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6"/>
          <w:szCs w:val="16"/>
          <w:b w:val="1"/>
          <w:bCs w:val="1"/>
          <w:color w:val="auto"/>
        </w:rPr>
        <w:t>SERVE ROBOTICS,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January 15,</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(inception) to</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1"/>
        </w:trPr>
        <w:tc>
          <w:tcPr>
            <w:tcW w:w="8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(21,855,127)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(21,665,518)</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388,139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42,469</w:t>
            </w: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195,056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simple agreements for future equity</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265,744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11,043,155</w:t>
            </w: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13,600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(154,840)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(463,422)</w:t>
            </w:r>
          </w:p>
        </w:tc>
        <w:tc>
          <w:tcPr>
            <w:tcW w:w="0" w:type="dxa"/>
            <w:vAlign w:val="bottom"/>
          </w:tcPr>
          <w:p>
            <w:pPr>
              <w:spacing w:after="0"/>
              <w:rPr>
                <w:sz w:val="1"/>
                <w:szCs w:val="1"/>
                <w:color w:val="auto"/>
              </w:rPr>
            </w:pPr>
          </w:p>
        </w:tc>
      </w:tr>
      <w:tr>
        <w:trPr>
          <w:trHeight w:val="196"/>
        </w:trPr>
        <w:tc>
          <w:tcPr>
            <w:tcW w:w="8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(81,339)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11,163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0" w:type="dxa"/>
            <w:vAlign w:val="bottom"/>
          </w:tcPr>
          <w:p>
            <w:pPr>
              <w:spacing w:after="0"/>
              <w:rPr>
                <w:sz w:val="1"/>
                <w:szCs w:val="1"/>
                <w:color w:val="auto"/>
              </w:rPr>
            </w:pPr>
          </w:p>
        </w:tc>
      </w:tr>
      <w:tr>
        <w:trPr>
          <w:trHeight w:val="196"/>
        </w:trPr>
        <w:tc>
          <w:tcPr>
            <w:tcW w:w="8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(174,278)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liabilities</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37,434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Right of use liabilities, net</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(21,402,786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(10,709,450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1"/>
        </w:trPr>
        <w:tc>
          <w:tcPr>
            <w:tcW w:w="86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(3,644,950)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(162,085)</w:t>
            </w:r>
          </w:p>
        </w:tc>
        <w:tc>
          <w:tcPr>
            <w:tcW w:w="0" w:type="dxa"/>
            <w:vAlign w:val="bottom"/>
          </w:tcPr>
          <w:p>
            <w:pPr>
              <w:spacing w:after="0"/>
              <w:rPr>
                <w:sz w:val="1"/>
                <w:szCs w:val="1"/>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(96,647)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(4,060,962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1"/>
        </w:trPr>
        <w:tc>
          <w:tcPr>
            <w:tcW w:w="86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simple agreement for future equity</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12,885,001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note payable</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2,500,000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lease liability financing</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4,455,852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lease liability financing</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founders’ stock</w:t>
            </w:r>
          </w:p>
        </w:tc>
        <w:tc>
          <w:tcPr>
            <w:tcW w:w="80" w:type="dxa"/>
            <w:vAlign w:val="bottom"/>
          </w:tcPr>
          <w:p>
            <w:pPr>
              <w:spacing w:after="0"/>
              <w:rPr>
                <w:sz w:val="17"/>
                <w:szCs w:val="17"/>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common stock, net of repurchases</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1,278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Seed preferred stock</w:t>
            </w:r>
          </w:p>
        </w:tc>
        <w:tc>
          <w:tcPr>
            <w:tcW w:w="80" w:type="dxa"/>
            <w:vAlign w:val="bottom"/>
          </w:tcPr>
          <w:p>
            <w:pPr>
              <w:spacing w:after="0"/>
              <w:rPr>
                <w:sz w:val="18"/>
                <w:szCs w:val="18"/>
                <w:color w:val="auto"/>
              </w:rPr>
            </w:pP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999,999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10,999,998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20,213,606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18,934,043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6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(5,250,142)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7,965,861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7,965,861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2,715,719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7,965,861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8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622,730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 liability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162,747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Warrants issued in connection with note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49,000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Subscription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165,719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simple agreement for future equity into preferred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18,968,155</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39" w:name="page140"/>
    <w:bookmarkEnd w:id="139"/>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SERVE ROBOTICS, INC.</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 NATURE OF OPERATIONS</w:t>
      </w:r>
    </w:p>
    <w:p>
      <w:pPr>
        <w:spacing w:after="0" w:line="213" w:lineRule="exact"/>
        <w:rPr>
          <w:sz w:val="20"/>
          <w:szCs w:val="20"/>
          <w:color w:val="auto"/>
        </w:rPr>
      </w:pPr>
    </w:p>
    <w:p>
      <w:pPr>
        <w:jc w:val="both"/>
        <w:ind w:left="2" w:firstLine="589"/>
        <w:spacing w:after="0" w:line="294" w:lineRule="auto"/>
        <w:rPr>
          <w:sz w:val="20"/>
          <w:szCs w:val="20"/>
          <w:color w:val="auto"/>
        </w:rPr>
      </w:pPr>
      <w:r>
        <w:rPr>
          <w:rFonts w:ascii="Times New Roman" w:cs="Times New Roman" w:eastAsia="Times New Roman" w:hAnsi="Times New Roman"/>
          <w:sz w:val="16"/>
          <w:szCs w:val="16"/>
          <w:color w:val="auto"/>
        </w:rPr>
        <w:t>Serve Robotics, Inc. (the “Company” or “Serve”) is a corporation formed on January 15, 2021 under the laws of the State of Delaware. The Company is developing next generation robots for last-mile delivery services. The Company is headquartered in Redwood City, California.</w:t>
      </w:r>
    </w:p>
    <w:p>
      <w:pPr>
        <w:spacing w:after="0" w:line="138" w:lineRule="exact"/>
        <w:rPr>
          <w:sz w:val="20"/>
          <w:szCs w:val="20"/>
          <w:color w:val="auto"/>
        </w:rPr>
      </w:pPr>
    </w:p>
    <w:p>
      <w:pPr>
        <w:jc w:val="both"/>
        <w:ind w:left="2" w:firstLine="589"/>
        <w:spacing w:after="0" w:line="275" w:lineRule="auto"/>
        <w:rPr>
          <w:sz w:val="20"/>
          <w:szCs w:val="20"/>
          <w:color w:val="auto"/>
        </w:rPr>
      </w:pPr>
      <w:r>
        <w:rPr>
          <w:rFonts w:ascii="Times New Roman" w:cs="Times New Roman" w:eastAsia="Times New Roman" w:hAnsi="Times New Roman"/>
          <w:sz w:val="16"/>
          <w:szCs w:val="16"/>
          <w:color w:val="auto"/>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financial statements.</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 GOING CONCERN</w:t>
      </w:r>
    </w:p>
    <w:p>
      <w:pPr>
        <w:spacing w:after="0" w:line="213" w:lineRule="exact"/>
        <w:rPr>
          <w:sz w:val="20"/>
          <w:szCs w:val="20"/>
          <w:color w:val="auto"/>
        </w:rPr>
      </w:pPr>
    </w:p>
    <w:p>
      <w:pPr>
        <w:jc w:val="both"/>
        <w:ind w:left="2" w:firstLine="589"/>
        <w:spacing w:after="0" w:line="294" w:lineRule="auto"/>
        <w:rPr>
          <w:sz w:val="20"/>
          <w:szCs w:val="20"/>
          <w:color w:val="auto"/>
        </w:rPr>
      </w:pPr>
      <w:r>
        <w:rPr>
          <w:rFonts w:ascii="Times New Roman" w:cs="Times New Roman" w:eastAsia="Times New Roman" w:hAnsi="Times New Roman"/>
          <w:sz w:val="16"/>
          <w:szCs w:val="16"/>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38" w:lineRule="exact"/>
        <w:rPr>
          <w:sz w:val="20"/>
          <w:szCs w:val="20"/>
          <w:color w:val="auto"/>
        </w:rPr>
      </w:pPr>
    </w:p>
    <w:p>
      <w:pPr>
        <w:jc w:val="both"/>
        <w:ind w:left="2" w:firstLine="589"/>
        <w:spacing w:after="0" w:line="262"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 concern basis, which contemplates the realization of assets and the satisfaction of liabilities in the normal course of business. The Company has sustained net losses of $21,855,127 and $21,665,518 for the periods ended December 31, 2022 and 2021, respectively and has negative cash flow from operations for the periods ended December 31, 2022 and 2021. These factors, among others, raise substantial doubt about the Company’s ability to continue as a going concern. The Company’s ability to continue as a going concern for the next twelve months is dependent upon its ability to generate sufficient cash flows from operations to meet its obligations, which it has not been able to accomplish to date, and/or to obtain additional capital financing. No assurance can be given that the Company will be successful in these efforts. The financial statements do not include any adjustments relating to the recoverability and classification of recorded asset amounts or the amounts and classification of liabilities.</w:t>
      </w:r>
    </w:p>
    <w:p>
      <w:pPr>
        <w:spacing w:after="0" w:line="161" w:lineRule="exact"/>
        <w:rPr>
          <w:sz w:val="20"/>
          <w:szCs w:val="20"/>
          <w:color w:val="auto"/>
        </w:rPr>
      </w:pPr>
    </w:p>
    <w:p>
      <w:pPr>
        <w:ind w:left="582" w:right="6820" w:hanging="582"/>
        <w:spacing w:after="0" w:line="514" w:lineRule="auto"/>
        <w:tabs>
          <w:tab w:leader="none" w:pos="156"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b w:val="1"/>
          <w:bCs w:val="1"/>
          <w:i w:val="1"/>
          <w:iCs w:val="1"/>
          <w:color w:val="auto"/>
        </w:rPr>
        <w:t>Basis of Presentation</w:t>
      </w:r>
    </w:p>
    <w:p>
      <w:pPr>
        <w:spacing w:after="0" w:line="1" w:lineRule="exact"/>
        <w:rPr>
          <w:sz w:val="20"/>
          <w:szCs w:val="20"/>
          <w:color w:val="auto"/>
        </w:rPr>
      </w:pPr>
    </w:p>
    <w:p>
      <w:pPr>
        <w:jc w:val="both"/>
        <w:ind w:left="2" w:firstLine="589"/>
        <w:spacing w:after="0" w:line="294" w:lineRule="auto"/>
        <w:rPr>
          <w:sz w:val="20"/>
          <w:szCs w:val="20"/>
          <w:color w:val="auto"/>
        </w:rPr>
      </w:pPr>
      <w:r>
        <w:rPr>
          <w:rFonts w:ascii="Times New Roman" w:cs="Times New Roman" w:eastAsia="Times New Roman" w:hAnsi="Times New Roman"/>
          <w:sz w:val="16"/>
          <w:szCs w:val="16"/>
          <w:color w:val="auto"/>
        </w:rPr>
        <w:t>The accounting and reporting policies of the Company conform to accounting principles generally accepted in the United States of America (“GAAP”). The Company’s fiscal year is December 31.</w:t>
      </w:r>
    </w:p>
    <w:p>
      <w:pPr>
        <w:spacing w:after="0" w:line="13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Reverse Merger and Recapitalization</w:t>
      </w:r>
    </w:p>
    <w:p>
      <w:pPr>
        <w:spacing w:after="0" w:line="213" w:lineRule="exact"/>
        <w:rPr>
          <w:sz w:val="20"/>
          <w:szCs w:val="20"/>
          <w:color w:val="auto"/>
        </w:rPr>
      </w:pPr>
    </w:p>
    <w:p>
      <w:pPr>
        <w:jc w:val="both"/>
        <w:ind w:left="2" w:firstLine="589"/>
        <w:spacing w:after="0" w:line="275" w:lineRule="auto"/>
        <w:rPr>
          <w:sz w:val="20"/>
          <w:szCs w:val="20"/>
          <w:color w:val="auto"/>
        </w:rPr>
      </w:pPr>
      <w:r>
        <w:rPr>
          <w:rFonts w:ascii="Times New Roman" w:cs="Times New Roman" w:eastAsia="Times New Roman" w:hAnsi="Times New Roman"/>
          <w:sz w:val="16"/>
          <w:szCs w:val="16"/>
          <w:color w:val="auto"/>
        </w:rPr>
        <w:t>On July 31, 2023, the board of directors of Patricia Acquisition Corp., a Delaware corporation (“Patricia”) and all of its pre-Merger stockholders approved a restated certificate of incorporation, which was effective upon its filing with the Secretary of State of the State of Delaware on July 31, 2023, and through which Patricia changed its name to “Serve Robotics Inc.”</w:t>
      </w:r>
    </w:p>
    <w:p>
      <w:pPr>
        <w:spacing w:after="0" w:line="153" w:lineRule="exact"/>
        <w:rPr>
          <w:sz w:val="20"/>
          <w:szCs w:val="20"/>
          <w:color w:val="auto"/>
        </w:rPr>
      </w:pPr>
    </w:p>
    <w:p>
      <w:pPr>
        <w:jc w:val="both"/>
        <w:ind w:left="2" w:firstLine="589"/>
        <w:spacing w:after="0" w:line="269" w:lineRule="auto"/>
        <w:rPr>
          <w:sz w:val="20"/>
          <w:szCs w:val="20"/>
          <w:color w:val="auto"/>
        </w:rPr>
      </w:pPr>
      <w:r>
        <w:rPr>
          <w:rFonts w:ascii="Times New Roman" w:cs="Times New Roman" w:eastAsia="Times New Roman" w:hAnsi="Times New Roman"/>
          <w:sz w:val="16"/>
          <w:szCs w:val="16"/>
          <w:color w:val="auto"/>
        </w:rPr>
        <w:t>On July 31, 2023, Patricia’s wholly-owned subsidiary, Serve Acquisition Corp., a corporation formed in the State of Delaware on July 10, 2023 (“Acquisition Sub”), merged with and into Serve Robotics Inc. (“Serve”). Pursuant to this transaction (the “Merger”), Serve was the surviving corporation and became our wholly owned subsidiary, and all of the outstanding stock of Serve was converted into shares of our common stock. All of Serve’s outstanding warrants, options and stock appreciation rights were assumed by us. Following the consummation of the Merger, Serve changed its name to “Serve Operating Co.”</w:t>
      </w:r>
    </w:p>
    <w:p>
      <w:pPr>
        <w:spacing w:after="0" w:line="157" w:lineRule="exact"/>
        <w:rPr>
          <w:sz w:val="20"/>
          <w:szCs w:val="20"/>
          <w:color w:val="auto"/>
        </w:rPr>
      </w:pPr>
    </w:p>
    <w:p>
      <w:pPr>
        <w:jc w:val="both"/>
        <w:ind w:left="2" w:firstLine="589"/>
        <w:spacing w:after="0" w:line="265" w:lineRule="auto"/>
        <w:rPr>
          <w:sz w:val="20"/>
          <w:szCs w:val="20"/>
          <w:color w:val="auto"/>
        </w:rPr>
      </w:pPr>
      <w:r>
        <w:rPr>
          <w:rFonts w:ascii="Times New Roman" w:cs="Times New Roman" w:eastAsia="Times New Roman" w:hAnsi="Times New Roman"/>
          <w:sz w:val="16"/>
          <w:szCs w:val="16"/>
          <w:color w:val="auto"/>
        </w:rPr>
        <w:t>The Merger is being accounted for as a reverse-merger and recapitalization. Serve is the acquirer for financial reporting purposes, and Patricia is the acquired company under the acquisition method of accounting in accordance with FASB ASC Topic 805, Business Combinations. Consequently, the assets, liabilities and operations that will be reflected in the historical financial statements prior to the Merger will be those of Serve and will be recorded at the historical cost basis of Serve, and the consolidated financial statements after completion of the Merger will include the assets, liabilities and results of operations of Serve up to the day prior to the closing of the Merger and the assets, liabilities and results of operations of the combined company from and after the closing date of the Merger.</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1" w:right="339" w:bottom="1440" w:gutter="0" w:footer="0" w:header="0"/>
        </w:sectPr>
      </w:pPr>
    </w:p>
    <w:bookmarkStart w:id="140" w:name="page141"/>
    <w:bookmarkEnd w:id="140"/>
    <w:p>
      <w:pPr>
        <w:jc w:val="both"/>
        <w:ind w:firstLine="589"/>
        <w:spacing w:after="0" w:line="269" w:lineRule="auto"/>
        <w:rPr>
          <w:sz w:val="20"/>
          <w:szCs w:val="20"/>
          <w:color w:val="auto"/>
        </w:rPr>
      </w:pPr>
      <w:r>
        <w:rPr>
          <w:rFonts w:ascii="Times New Roman" w:cs="Times New Roman" w:eastAsia="Times New Roman" w:hAnsi="Times New Roman"/>
          <w:sz w:val="16"/>
          <w:szCs w:val="16"/>
          <w:color w:val="auto"/>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and the par value of Patricia, $0.0001 per share.</w:t>
      </w:r>
    </w:p>
    <w:p>
      <w:pPr>
        <w:spacing w:after="0" w:line="157"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The authorized shares of preferred and common stock in the accompanying consolidated balance sheets reflect the historical authorized shares of Serve. Upon the Merger, there were 10,000,000 authorized shares of preferred stock and 300,000,000 shares of common stock.</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Unaudited Pro Forma Financial Information</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At the Closing of the Merger described above, all outstanding shares of the Series Seed Preferred Stock were converted into shares of common stock.</w:t>
      </w:r>
    </w:p>
    <w:p>
      <w:pPr>
        <w:spacing w:after="0" w:line="209"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The unaudited pro-forma balance sheet information as of December 31, 2022 has been prepared to give effect to the exchange of all 7,987,195 outstanding shares of the various Series Seed Preferred Stock, converted into an equal number of common stock as if the exchange had occurred on December 31, 2022. The shares of common stock issuable and the proceeds expected to be received in the Business Combination are excluded from such pro-forma financial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6"/>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3"/>
        </w:trPr>
        <w:tc>
          <w:tcPr>
            <w:tcW w:w="8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Series Seed preferred stock</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Series Seed-1 preferred stock</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Series Seed-2 preferred stock</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Series Seed-3 preferred stock</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31,232,737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31,232,737</w:t>
            </w: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Subscription receivable</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(165,719)</w:t>
            </w:r>
          </w:p>
        </w:tc>
        <w:tc>
          <w:tcPr>
            <w:tcW w:w="0" w:type="dxa"/>
            <w:vAlign w:val="bottom"/>
          </w:tcPr>
          <w:p>
            <w:pPr>
              <w:spacing w:after="0"/>
              <w:rPr>
                <w:sz w:val="1"/>
                <w:szCs w:val="1"/>
                <w:color w:val="auto"/>
              </w:rPr>
            </w:pPr>
          </w:p>
        </w:tc>
      </w:tr>
      <w:tr>
        <w:trPr>
          <w:trHeight w:val="213"/>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(43,520,645)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(43,520,645)</w:t>
            </w:r>
          </w:p>
        </w:tc>
        <w:tc>
          <w:tcPr>
            <w:tcW w:w="0" w:type="dxa"/>
            <w:vAlign w:val="bottom"/>
          </w:tcPr>
          <w:p>
            <w:pPr>
              <w:spacing w:after="0"/>
              <w:rPr>
                <w:sz w:val="1"/>
                <w:szCs w:val="1"/>
                <w:color w:val="auto"/>
              </w:rPr>
            </w:pPr>
          </w:p>
        </w:tc>
      </w:tr>
      <w:tr>
        <w:trPr>
          <w:trHeight w:val="225"/>
        </w:trPr>
        <w:tc>
          <w:tcPr>
            <w:tcW w:w="86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(12,452,146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(12,452,146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13"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These consolidated financial statements include the accounts of the Company and its wholly-owned subsidiary Serve Robotics Canada Inc. All inter-company transactions and balances have been eliminated on consolidation.</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213" w:lineRule="exact"/>
        <w:rPr>
          <w:sz w:val="20"/>
          <w:szCs w:val="20"/>
          <w:color w:val="auto"/>
        </w:rPr>
      </w:pPr>
    </w:p>
    <w:p>
      <w:pPr>
        <w:jc w:val="both"/>
        <w:ind w:firstLine="589"/>
        <w:spacing w:after="0" w:line="263" w:lineRule="auto"/>
        <w:rPr>
          <w:sz w:val="20"/>
          <w:szCs w:val="20"/>
          <w:color w:val="auto"/>
        </w:rPr>
      </w:pPr>
      <w:r>
        <w:rPr>
          <w:rFonts w:ascii="Times New Roman" w:cs="Times New Roman" w:eastAsia="Times New Roman" w:hAnsi="Times New Roman"/>
          <w:sz w:val="16"/>
          <w:szCs w:val="16"/>
          <w:color w:val="auto"/>
        </w:rPr>
        <w:t>The preparation of the Company’s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the valuations of common stock and options.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41" w:name="page142"/>
    <w:bookmarkEnd w:id="141"/>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Concentrations of Credit Risk</w:t>
      </w:r>
    </w:p>
    <w:p>
      <w:pPr>
        <w:spacing w:after="0" w:line="213"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At December 31, 2022 and 2021, all of the Company’s cash and cash equivalents were held at one accredited financial institution. As of December 31, 2022 and 2021, the Company had $2,465,719 and $7,715,861, respectively, in excess of insured amounts.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considers all highly liquid investments with maturities of three months or less at the date of purchase to be cash equivalents.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213"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Level 1 — Quoted prices in active markets for identical assets or liabilities.</w:t>
      </w:r>
    </w:p>
    <w:p>
      <w:pPr>
        <w:spacing w:after="0" w:line="209" w:lineRule="exact"/>
        <w:rPr>
          <w:sz w:val="20"/>
          <w:szCs w:val="20"/>
          <w:color w:val="auto"/>
        </w:rPr>
      </w:pPr>
    </w:p>
    <w:p>
      <w:pPr>
        <w:ind w:left="580"/>
        <w:spacing w:after="0" w:line="294" w:lineRule="auto"/>
        <w:rPr>
          <w:sz w:val="20"/>
          <w:szCs w:val="20"/>
          <w:color w:val="auto"/>
        </w:rPr>
      </w:pPr>
      <w:r>
        <w:rPr>
          <w:rFonts w:ascii="Times New Roman" w:cs="Times New Roman" w:eastAsia="Times New Roman" w:hAnsi="Times New Roman"/>
          <w:sz w:val="16"/>
          <w:szCs w:val="16"/>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8" w:lineRule="exact"/>
        <w:rPr>
          <w:sz w:val="20"/>
          <w:szCs w:val="20"/>
          <w:color w:val="auto"/>
        </w:rPr>
      </w:pPr>
    </w:p>
    <w:p>
      <w:pPr>
        <w:ind w:left="580"/>
        <w:spacing w:after="0" w:line="294" w:lineRule="auto"/>
        <w:rPr>
          <w:sz w:val="20"/>
          <w:szCs w:val="20"/>
          <w:color w:val="auto"/>
        </w:rPr>
      </w:pPr>
      <w:r>
        <w:rPr>
          <w:rFonts w:ascii="Times New Roman" w:cs="Times New Roman" w:eastAsia="Times New Roman" w:hAnsi="Times New Roman"/>
          <w:sz w:val="16"/>
          <w:szCs w:val="16"/>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carrying values of the Company’s assets and liabilities approximate their fair values.</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Note 4 for fair value measurement disclosures.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w:t>
      </w:r>
    </w:p>
    <w:p>
      <w:pPr>
        <w:spacing w:after="0" w:line="213" w:lineRule="exact"/>
        <w:rPr>
          <w:sz w:val="20"/>
          <w:szCs w:val="20"/>
          <w:color w:val="auto"/>
        </w:rPr>
      </w:pPr>
    </w:p>
    <w:p>
      <w:pPr>
        <w:jc w:val="both"/>
        <w:ind w:firstLine="589"/>
        <w:spacing w:after="0" w:line="269" w:lineRule="auto"/>
        <w:rPr>
          <w:sz w:val="20"/>
          <w:szCs w:val="20"/>
          <w:color w:val="auto"/>
        </w:rPr>
      </w:pPr>
      <w:r>
        <w:rPr>
          <w:rFonts w:ascii="Times New Roman" w:cs="Times New Roman" w:eastAsia="Times New Roman" w:hAnsi="Times New Roman"/>
          <w:sz w:val="16"/>
          <w:szCs w:val="16"/>
          <w:color w:val="auto"/>
        </w:rPr>
        <w:t>Accounts receivable are derived from products and services delivered to customers and are stated at their net realizable value.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213"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Inventory is stated at the lower of cost or market value and accounted for using the specific identification cost method. As of December 31, 2022 and 2021, inventory primarily consists of robotic component parts from the Company’s suppliers. Management reviews its inventory for obsolescence and impairment annually and did not record a reserve for obsolete inventory for the years ended December 31, 2022 and 2021.</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42" w:name="page143"/>
    <w:bookmarkEnd w:id="142"/>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w:t>
      </w:r>
    </w:p>
    <w:p>
      <w:pPr>
        <w:spacing w:after="0" w:line="213"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Depreciation expense is recognized using the straight-line method over the estimated useful life of the asset, which is three (3) to five (5) years for office equipment and two (2) years for the Company’s current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213"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13"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The Company accounts for revenue in accordance with ASC 606 – Revenue from Contracts with Customers (“ASC 606”). The Company determines revenue recognition through the following steps: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Identification of a contract with a customer;</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Identification of the performance obligations in the contract;</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Determination of the transaction price;</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Recognition of revenue when or as the performance obligations are satisfied.</w:t>
      </w:r>
    </w:p>
    <w:p>
      <w:pPr>
        <w:spacing w:after="0" w:line="209" w:lineRule="exact"/>
        <w:rPr>
          <w:sz w:val="20"/>
          <w:szCs w:val="20"/>
          <w:color w:val="auto"/>
        </w:rPr>
      </w:pPr>
    </w:p>
    <w:p>
      <w:pPr>
        <w:jc w:val="both"/>
        <w:ind w:firstLine="589"/>
        <w:spacing w:after="0" w:line="269" w:lineRule="auto"/>
        <w:rPr>
          <w:sz w:val="20"/>
          <w:szCs w:val="20"/>
          <w:color w:val="auto"/>
        </w:rPr>
      </w:pPr>
      <w:r>
        <w:rPr>
          <w:rFonts w:ascii="Times New Roman" w:cs="Times New Roman" w:eastAsia="Times New Roman" w:hAnsi="Times New Roman"/>
          <w:sz w:val="16"/>
          <w:szCs w:val="16"/>
          <w:color w:val="auto"/>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 To date, The Company has not generated any revenue.</w:t>
      </w:r>
    </w:p>
    <w:p>
      <w:pPr>
        <w:spacing w:after="0" w:line="157"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the year ended December 31, 2022, delivery revenue was $54,423 and branding fees were $53,575,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43" w:name="page144"/>
    <w:bookmarkEnd w:id="143"/>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213"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Cost of revenue consists primarily of allocations of depreciation on robot assets used for revenue producing activities, personnel time related to revenue activities, and costs related to data, software and similar costs that allow the robots to function as intended and for the Company to communicate with the robots while in service.</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w:t>
      </w:r>
    </w:p>
    <w:p>
      <w:pPr>
        <w:spacing w:after="0" w:line="213"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Sales and marketing expenses includes personnel costs and public relations expenses. Advertising costs are expensed as incurred and included in sales and marketing expense.</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Operations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Operations expenses primarily consists of costs for field operations personnel that support operations in cities, including supervisors and related costs.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13"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certain property and equipment as well as amortization of allocated portions of right of use assets. These costs are expensed as incurred.</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Costs</w:t>
      </w:r>
    </w:p>
    <w:p>
      <w:pPr>
        <w:spacing w:after="0" w:line="213"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Costs incurred in the research and development of the Company’s products are expensed as incurred. Research and development costs include product design, hardware and software costs.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Concentrations</w:t>
      </w:r>
    </w:p>
    <w:p>
      <w:pPr>
        <w:spacing w:after="0" w:line="213"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The Company is dependent on third-party vendors to supply inventory and products for research and development activities and parts for building products. In particular, the Company relies and expects to continue to rely on a small number of vendors. The loss of one of these vendors may have a negative short-term impact on the Company’s operations; however, the Company believes there are acceptable substitute vendors that can be utilized longer-term.</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Preferred Stock</w:t>
      </w:r>
    </w:p>
    <w:p>
      <w:pPr>
        <w:spacing w:after="0" w:line="211" w:lineRule="exact"/>
        <w:rPr>
          <w:sz w:val="20"/>
          <w:szCs w:val="20"/>
          <w:color w:val="auto"/>
        </w:rPr>
      </w:pPr>
    </w:p>
    <w:p>
      <w:pPr>
        <w:jc w:val="both"/>
        <w:ind w:firstLine="589"/>
        <w:spacing w:after="0" w:line="297" w:lineRule="auto"/>
        <w:rPr>
          <w:sz w:val="20"/>
          <w:szCs w:val="20"/>
          <w:color w:val="auto"/>
        </w:rPr>
      </w:pPr>
      <w:r>
        <w:rPr>
          <w:rFonts w:ascii="Times New Roman" w:cs="Times New Roman" w:eastAsia="Times New Roman" w:hAnsi="Times New Roman"/>
          <w:sz w:val="16"/>
          <w:szCs w:val="16"/>
          <w:color w:val="auto"/>
        </w:rPr>
        <w:t xml:space="preserve">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includes standards for how an issuer of equity (including equity shares issued by consolidated entities) classifies and measures on its consolidated balance sheet certain financial instruments with characteristics of both liabilities and equity.</w:t>
      </w:r>
    </w:p>
    <w:p>
      <w:pPr>
        <w:spacing w:after="0" w:line="136" w:lineRule="exact"/>
        <w:rPr>
          <w:sz w:val="20"/>
          <w:szCs w:val="20"/>
          <w:color w:val="auto"/>
        </w:rPr>
      </w:pPr>
    </w:p>
    <w:p>
      <w:pPr>
        <w:jc w:val="both"/>
        <w:ind w:firstLine="589"/>
        <w:spacing w:after="0" w:line="263" w:lineRule="auto"/>
        <w:rPr>
          <w:sz w:val="20"/>
          <w:szCs w:val="20"/>
          <w:color w:val="auto"/>
        </w:rPr>
      </w:pPr>
      <w:r>
        <w:rPr>
          <w:rFonts w:ascii="Times New Roman" w:cs="Times New Roman" w:eastAsia="Times New Roman" w:hAnsi="Times New Roman"/>
          <w:sz w:val="16"/>
          <w:szCs w:val="16"/>
          <w:color w:val="auto"/>
        </w:rPr>
        <w:t xml:space="preserve">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is not required. Management determined that the host contract of the preferred stock is more akin to equity, and accordingly, liability accounting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not required by the Company. The Company has presented preferred stock within stockholders’ equity.</w:t>
      </w:r>
    </w:p>
    <w:p>
      <w:pPr>
        <w:spacing w:after="0" w:line="165"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Costs incurred directly for the issuance of the preferred stock are recorded as a reduction of gross proceeds received by the Company, resulting in a discount to the preferred stock. The discount is not amortized.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44" w:name="page145"/>
    <w:bookmarkEnd w:id="144"/>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211"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6"/>
          <w:szCs w:val="16"/>
          <w:color w:val="auto"/>
        </w:rPr>
        <w:t xml:space="preserve">The Company accounts for stock-based compensation in accordance with ASC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spacing w:after="0" w:line="160"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The Company classifies stock-based compensation expense in its statement of operations in the same manner in which the award recipient’s payroll costs are classified or in which the award recipient’s service payments are classified.</w:t>
      </w:r>
    </w:p>
    <w:p>
      <w:pPr>
        <w:spacing w:after="0" w:line="138" w:lineRule="exact"/>
        <w:rPr>
          <w:sz w:val="20"/>
          <w:szCs w:val="20"/>
          <w:color w:val="auto"/>
        </w:rPr>
      </w:pPr>
    </w:p>
    <w:p>
      <w:pPr>
        <w:jc w:val="both"/>
        <w:ind w:firstLine="589"/>
        <w:spacing w:after="0" w:line="260" w:lineRule="auto"/>
        <w:rPr>
          <w:sz w:val="20"/>
          <w:szCs w:val="20"/>
          <w:color w:val="auto"/>
        </w:rPr>
      </w:pPr>
      <w:r>
        <w:rPr>
          <w:rFonts w:ascii="Times New Roman" w:cs="Times New Roman" w:eastAsia="Times New Roman" w:hAnsi="Times New Roman"/>
          <w:sz w:val="16"/>
          <w:szCs w:val="16"/>
          <w:color w:val="auto"/>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213" w:lineRule="exact"/>
        <w:rPr>
          <w:sz w:val="20"/>
          <w:szCs w:val="20"/>
          <w:color w:val="auto"/>
        </w:rPr>
      </w:pPr>
    </w:p>
    <w:p>
      <w:pPr>
        <w:jc w:val="both"/>
        <w:ind w:firstLine="589"/>
        <w:spacing w:after="0" w:line="263" w:lineRule="auto"/>
        <w:rPr>
          <w:sz w:val="20"/>
          <w:szCs w:val="20"/>
          <w:color w:val="auto"/>
        </w:rPr>
      </w:pPr>
      <w:r>
        <w:rPr>
          <w:rFonts w:ascii="Times New Roman" w:cs="Times New Roman" w:eastAsia="Times New Roman" w:hAnsi="Times New Roman"/>
          <w:sz w:val="16"/>
          <w:szCs w:val="16"/>
          <w:color w:val="auto"/>
        </w:rPr>
        <w:t>In February 2016, the Financial Accounting Standards Board (“FASB”) issued Accounting Standard Update (“ASU”) 2016 02, Leases (ASC 842). This ASU requires a lessee to recognize a right-of-use asset and a lease liability under most operating leases in its balance sheet. The ASU is effective for annual and interim periods beginning after December 15, 2021. Early adoption is permitted. The Company adopted ASC 842 on January 1, 2022 using the modified retrospective approach. The Company elected the package of practical expedients available for existing contracts, which allowed the Company to carry forward our historical assessments of lease identification, lease classification, and initial direct costs. The Company also elected a policy to not apply the recognition requirements of ASC 842 for short-term leases with a term of 12 months or less.</w:t>
      </w:r>
    </w:p>
    <w:p>
      <w:pPr>
        <w:spacing w:after="0" w:line="165"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The Company determines if an arrangement is a lease, or includes an embedded lease, at inception for each contract or agreement. A contract is or contains an embedded lease if the contract meets all of the below criteria:</w:t>
      </w:r>
    </w:p>
    <w:p>
      <w:pPr>
        <w:spacing w:after="0" w:line="138" w:lineRule="exact"/>
        <w:rPr>
          <w:sz w:val="20"/>
          <w:szCs w:val="20"/>
          <w:color w:val="auto"/>
        </w:rPr>
      </w:pPr>
    </w:p>
    <w:p>
      <w:pPr>
        <w:ind w:left="880" w:hanging="293"/>
        <w:spacing w:after="0"/>
        <w:tabs>
          <w:tab w:leader="none" w:pos="8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 identified asset</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obtains substantially all of the economic benefits of the asset</w:t>
      </w:r>
    </w:p>
    <w:p>
      <w:pPr>
        <w:spacing w:after="0" w:line="208" w:lineRule="exact"/>
        <w:rPr>
          <w:rFonts w:ascii="Times New Roman" w:cs="Times New Roman" w:eastAsia="Times New Roman" w:hAnsi="Times New Roman"/>
          <w:sz w:val="16"/>
          <w:szCs w:val="16"/>
          <w:color w:val="auto"/>
        </w:rPr>
      </w:pPr>
    </w:p>
    <w:p>
      <w:pPr>
        <w:ind w:left="880" w:hanging="293"/>
        <w:spacing w:after="0"/>
        <w:tabs>
          <w:tab w:leader="none" w:pos="8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right to direct the use of the asset</w:t>
      </w:r>
    </w:p>
    <w:p>
      <w:pPr>
        <w:spacing w:after="0" w:line="209"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45" w:name="page146"/>
    <w:bookmarkEnd w:id="145"/>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spacing w:after="0" w:line="153"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11" w:lineRule="exact"/>
        <w:rPr>
          <w:sz w:val="20"/>
          <w:szCs w:val="20"/>
          <w:color w:val="auto"/>
        </w:rPr>
      </w:pPr>
    </w:p>
    <w:p>
      <w:pPr>
        <w:jc w:val="both"/>
        <w:ind w:firstLine="589"/>
        <w:spacing w:after="0" w:line="262" w:lineRule="auto"/>
        <w:rPr>
          <w:sz w:val="20"/>
          <w:szCs w:val="20"/>
          <w:color w:val="auto"/>
        </w:rPr>
      </w:pPr>
      <w:r>
        <w:rPr>
          <w:rFonts w:ascii="Times New Roman" w:cs="Times New Roman" w:eastAsia="Times New Roman" w:hAnsi="Times New Roman"/>
          <w:sz w:val="16"/>
          <w:szCs w:val="16"/>
          <w:color w:val="auto"/>
        </w:rPr>
        <w:t xml:space="preserve">The Company uses the liability method of accounting for income taxes as set forth in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spacing w:after="0" w:line="3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Net Loss per Share</w:t>
      </w:r>
    </w:p>
    <w:p>
      <w:pPr>
        <w:spacing w:after="0" w:line="213" w:lineRule="exact"/>
        <w:rPr>
          <w:sz w:val="20"/>
          <w:szCs w:val="20"/>
          <w:color w:val="auto"/>
        </w:rPr>
      </w:pPr>
    </w:p>
    <w:p>
      <w:pPr>
        <w:jc w:val="both"/>
        <w:ind w:firstLine="589"/>
        <w:spacing w:after="0" w:line="263" w:lineRule="auto"/>
        <w:rPr>
          <w:sz w:val="20"/>
          <w:szCs w:val="20"/>
          <w:color w:val="auto"/>
        </w:rPr>
      </w:pPr>
      <w:r>
        <w:rPr>
          <w:rFonts w:ascii="Times New Roman" w:cs="Times New Roman" w:eastAsia="Times New Roman" w:hAnsi="Times New Roman"/>
          <w:sz w:val="16"/>
          <w:szCs w:val="16"/>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2022 and 2021, diluted net loss per share is the same as basic net loss per share for each period. Potentially dilutive items outstanding as of December 31, 2022 and 2021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17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 preferred stock (convertible to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3,091,672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2,834,033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Series Seed-1 preferred stock (convertible to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2,440,411</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Seed-2 preferred stock (convertible to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2,088,696</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2,088,696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Series Seed-3 preferred stock (convertible to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357,836</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54,203</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13,912</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128,819</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861,309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Total potentially dilutive shares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9,022,946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Excluded in the table below are the number of shares that would be issuable upon the conversion of Simple Agreements for Future Equity, for which the number of shares are indeterminable. The table also excludes 417,301 shares of restricted stock considered issued but not outstanding due to vesting requirements (Note 8).</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46" w:name="page147"/>
    <w:bookmarkEnd w:id="146"/>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213"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Management does not believe that any other recently issued, but not yet effective, accounting standards could have a material effect on the accompanying consolidated financial statements. As new accounting pronouncements are issued, the Company will adopt those that are applicable under the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FAIR VALUE MEASUREMENTS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Company’s financial assets and liabilities subject to fair value measurements on a recurring basis and the level of inputs used for such measurements were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2022 Using:</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8"/>
                <w:szCs w:val="18"/>
                <w:color w:val="auto"/>
              </w:rPr>
            </w:pPr>
          </w:p>
        </w:tc>
        <w:tc>
          <w:tcPr>
            <w:tcW w:w="88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6"/>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8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2780" w:type="dxa"/>
            <w:vAlign w:val="bottom"/>
            <w:gridSpan w:val="2"/>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13,150,745</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5"/>
        </w:trPr>
        <w:tc>
          <w:tcPr>
            <w:tcW w:w="4140" w:type="dxa"/>
            <w:vAlign w:val="bottom"/>
          </w:tcPr>
          <w:p>
            <w:pPr>
              <w:spacing w:after="0"/>
              <w:rPr>
                <w:sz w:val="19"/>
                <w:szCs w:val="19"/>
                <w:color w:val="auto"/>
              </w:rPr>
            </w:pPr>
          </w:p>
        </w:tc>
        <w:tc>
          <w:tcPr>
            <w:tcW w:w="2780" w:type="dxa"/>
            <w:vAlign w:val="bottom"/>
            <w:gridSpan w:val="2"/>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13,150,745</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The Company measures the simple agreements for future equity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spacing w:after="0" w:line="162"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62"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the settlement outcomes include unobservable Level 3 inputs.</w:t>
      </w:r>
    </w:p>
    <w:p>
      <w:pPr>
        <w:spacing w:after="0" w:line="153"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As of December 31, 2022, the Company assumed an 85% probability of a liquidity and/or equity financing events as the primary ultimate settlement outcomes of the future equity obligations As of December 31, 2022, the Company calculated the potential number of shares to be converted based on the agreement terms (see Note 7) and the Company’s respective capitalization as of December 31, 2022. In 2021, the Company determined the fair value of the simple agreements for future equity prior to conversion based on the number of shares that the obligations converted into at the underlying fair value of the Series Seed preferred stock. After conversion in 2021, there were no simple agreements for future equity outstanding as of December 31, 2021.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47" w:name="page148"/>
    <w:bookmarkEnd w:id="147"/>
    <w:p>
      <w:pPr>
        <w:ind w:left="580"/>
        <w:spacing w:after="0"/>
        <w:rPr>
          <w:sz w:val="20"/>
          <w:szCs w:val="20"/>
          <w:color w:val="auto"/>
        </w:rPr>
      </w:pPr>
      <w:r>
        <w:rPr>
          <w:rFonts w:ascii="Times New Roman" w:cs="Times New Roman" w:eastAsia="Times New Roman" w:hAnsi="Times New Roman"/>
          <w:sz w:val="16"/>
          <w:szCs w:val="16"/>
          <w:color w:val="auto"/>
        </w:rPr>
        <w:t>The following table presents changes in Level 3 liabilities measured at fair value for the periods ended December 31, 2022 and 2021:</w:t>
      </w:r>
    </w:p>
    <w:p>
      <w:pPr>
        <w:spacing w:after="0" w:line="205"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6"/>
          <w:szCs w:val="16"/>
          <w:b w:val="1"/>
          <w:bCs w:val="1"/>
          <w:color w:val="auto"/>
        </w:rPr>
        <w:t>Simple</w:t>
      </w:r>
    </w:p>
    <w:p>
      <w:pPr>
        <w:spacing w:after="0" w:line="34"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6"/>
          <w:szCs w:val="16"/>
          <w:b w:val="1"/>
          <w:bCs w:val="1"/>
          <w:color w:val="auto"/>
        </w:rPr>
        <w:t>Agreement For</w:t>
      </w:r>
    </w:p>
    <w:p>
      <w:pPr>
        <w:spacing w:after="0" w:line="12"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6"/>
          <w:szCs w:val="16"/>
          <w:b w:val="1"/>
          <w:bCs w:val="1"/>
          <w:u w:val="single" w:color="auto"/>
          <w:color w:val="auto"/>
        </w:rPr>
        <w:t>Future Equity</w:t>
      </w:r>
    </w:p>
    <w:p>
      <w:pPr>
        <w:sectPr>
          <w:pgSz w:w="11900" w:h="16838" w:orient="portrait"/>
          <w:cols w:equalWidth="0" w:num="1">
            <w:col w:w="11240"/>
          </w:cols>
          <w:pgMar w:left="320" w:top="835" w:right="339" w:bottom="1440" w:gutter="0" w:footer="0" w:header="0"/>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at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45020" cy="132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5020" cy="13271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simple agreements for future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5020" cy="1244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5020" cy="1244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Change in fair value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Conversion to Series Seed-1, Seed-2 and Seed-3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45020" cy="140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5020" cy="140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as of December 31, 2021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simple agreements for future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5020" cy="147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5020" cy="1479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Change in fair value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as of December 31, 2022</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PROPERTY AND EQUIPMENT, NET</w:t>
      </w:r>
    </w:p>
    <w:p>
      <w:pPr>
        <w:spacing w:after="0" w:line="213" w:lineRule="exact"/>
        <w:rPr>
          <w:sz w:val="20"/>
          <w:szCs w:val="20"/>
          <w:color w:val="auto"/>
        </w:rPr>
      </w:pPr>
    </w:p>
    <w:p>
      <w:pPr>
        <w:jc w:val="right"/>
        <w:ind w:right="2740"/>
        <w:spacing w:after="0"/>
        <w:rPr>
          <w:sz w:val="20"/>
          <w:szCs w:val="20"/>
          <w:color w:val="auto"/>
        </w:rPr>
      </w:pPr>
      <w:r>
        <w:rPr>
          <w:rFonts w:ascii="Times New Roman" w:cs="Times New Roman" w:eastAsia="Times New Roman" w:hAnsi="Times New Roman"/>
          <w:sz w:val="16"/>
          <w:szCs w:val="16"/>
          <w:color w:val="auto"/>
        </w:rPr>
        <w:t>The following is a summary of property and equipment, net at December 31:</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000" w:hanging="1057"/>
        <w:spacing w:after="0"/>
        <w:tabs>
          <w:tab w:leader="none" w:pos="20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9" w:lineRule="exact"/>
        <w:rPr>
          <w:rFonts w:ascii="Times New Roman" w:cs="Times New Roman" w:eastAsia="Times New Roman" w:hAnsi="Times New Roman"/>
          <w:sz w:val="16"/>
          <w:szCs w:val="16"/>
          <w:color w:val="auto"/>
        </w:rPr>
      </w:pPr>
    </w:p>
    <w:p>
      <w:pPr>
        <w:ind w:left="1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7,925,000</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11,043,155</w:t>
      </w:r>
    </w:p>
    <w:p>
      <w:pPr>
        <w:spacing w:after="0" w:line="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(18,968,155)</w:t>
      </w:r>
    </w:p>
    <w:p>
      <w:pPr>
        <w:spacing w:after="0" w:line="3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3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12,885,001</w:t>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265,744</w:t>
      </w:r>
    </w:p>
    <w:p>
      <w:pPr>
        <w:spacing w:after="0" w:line="56" w:lineRule="exact"/>
        <w:rPr>
          <w:sz w:val="20"/>
          <w:szCs w:val="20"/>
          <w:color w:val="auto"/>
        </w:rPr>
      </w:pPr>
    </w:p>
    <w:p>
      <w:pPr>
        <w:ind w:left="1320" w:hanging="377"/>
        <w:spacing w:after="0"/>
        <w:tabs>
          <w:tab w:leader="none" w:pos="1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13,150,745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18415</wp:posOffset>
            </wp:positionV>
            <wp:extent cx="70929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9295" cy="1587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41910</wp:posOffset>
            </wp:positionV>
            <wp:extent cx="70929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929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20955</wp:posOffset>
            </wp:positionV>
            <wp:extent cx="1565910"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65910" cy="15875"/>
                    </a:xfrm>
                    <a:prstGeom prst="rect">
                      <a:avLst/>
                    </a:prstGeom>
                    <a:noFill/>
                  </pic:spPr>
                </pic:pic>
              </a:graphicData>
            </a:graphic>
          </wp:anchor>
        </w:drawing>
      </w:r>
    </w:p>
    <w:p>
      <w:pPr>
        <w:spacing w:after="0" w:line="2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53" w:lineRule="exact"/>
        <w:rPr>
          <w:sz w:val="20"/>
          <w:szCs w:val="20"/>
          <w:color w:val="auto"/>
        </w:rPr>
      </w:pPr>
    </w:p>
    <w:p>
      <w:pPr>
        <w:sectPr>
          <w:pgSz w:w="11900" w:h="16838" w:orient="portrait"/>
          <w:cols w:equalWidth="0" w:num="2">
            <w:col w:w="8360" w:space="720"/>
            <w:col w:w="2160"/>
          </w:cols>
          <w:pgMar w:left="320" w:top="83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Office equipment</w:t>
            </w:r>
          </w:p>
        </w:tc>
        <w:tc>
          <w:tcPr>
            <w:tcW w:w="280" w:type="dxa"/>
            <w:vAlign w:val="bottom"/>
            <w:shd w:val="clear" w:color="auto" w:fill="CCEEFF"/>
          </w:tcPr>
          <w:p>
            <w:pPr>
              <w:jc w:val="right"/>
              <w:ind w:right="11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245,747</w:t>
            </w:r>
          </w:p>
        </w:tc>
        <w:tc>
          <w:tcPr>
            <w:tcW w:w="420" w:type="dxa"/>
            <w:vAlign w:val="bottom"/>
            <w:gridSpan w:val="2"/>
            <w:shd w:val="clear" w:color="auto" w:fill="CCEEFF"/>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162,085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Robot assets</w:t>
            </w: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3,561,288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3,807,035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(430,608)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(42,469)</w:t>
            </w:r>
          </w:p>
        </w:tc>
        <w:tc>
          <w:tcPr>
            <w:tcW w:w="0" w:type="dxa"/>
            <w:vAlign w:val="bottom"/>
          </w:tcPr>
          <w:p>
            <w:pPr>
              <w:spacing w:after="0"/>
              <w:rPr>
                <w:sz w:val="1"/>
                <w:szCs w:val="1"/>
                <w:color w:val="auto"/>
              </w:rPr>
            </w:pPr>
          </w:p>
        </w:tc>
      </w:tr>
      <w:tr>
        <w:trPr>
          <w:trHeight w:val="25"/>
        </w:trPr>
        <w:tc>
          <w:tcPr>
            <w:tcW w:w="86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6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3,376,427</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119,616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In November 2022, the Company capitalized $3,561,288 in its next-generation of robot assets, which were financed as part of a failed sales and leaseback transaction (Note 11). Such are held as collateral under the agreement, see Note 11.</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Depreciation expense was $388,139 and $42,469 for the periods ended December 31,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NOTE PAYABLE</w:t>
      </w:r>
    </w:p>
    <w:p>
      <w:pPr>
        <w:spacing w:after="0" w:line="213"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Through December 31, 2022, the Company has made principal repayments totaling $250,000 and $2,250,000 remained outstanding. Interest expense was $58,463 for the year ended December 31, 2022, all of which was paid. The note is secured by the Company’s assets, subject to certain and permitted subordination.</w:t>
      </w:r>
    </w:p>
    <w:p>
      <w:pPr>
        <w:spacing w:after="0" w:line="162"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year ended December 31, 2022, amortization of debt discount was $13,600.</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type w:val="continuous"/>
        </w:sectPr>
      </w:pPr>
    </w:p>
    <w:bookmarkStart w:id="148" w:name="page149"/>
    <w:bookmarkEnd w:id="148"/>
    <w:p>
      <w:pPr>
        <w:jc w:val="both"/>
        <w:ind w:left="2" w:firstLine="589"/>
        <w:spacing w:after="0" w:line="294" w:lineRule="auto"/>
        <w:rPr>
          <w:sz w:val="20"/>
          <w:szCs w:val="20"/>
          <w:color w:val="auto"/>
        </w:rPr>
      </w:pPr>
      <w:r>
        <w:rPr>
          <w:rFonts w:ascii="Times New Roman" w:cs="Times New Roman" w:eastAsia="Times New Roman" w:hAnsi="Times New Roman"/>
          <w:sz w:val="16"/>
          <w:szCs w:val="16"/>
          <w:color w:val="auto"/>
        </w:rPr>
        <w:t>As of December 31, 2022, note payable, net of unamortized discount of $35,400, was $2,214,600. The following is a summary of future principal payments owed as of December 31, 2022:</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10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7"/>
                <w:szCs w:val="17"/>
                <w:color w:val="auto"/>
              </w:rPr>
            </w:pPr>
          </w:p>
        </w:tc>
      </w:tr>
      <w:tr>
        <w:trPr>
          <w:trHeight w:val="213"/>
        </w:trPr>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5"/>
        </w:trPr>
        <w:tc>
          <w:tcPr>
            <w:tcW w:w="9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2,250,000</w:t>
            </w:r>
          </w:p>
        </w:tc>
        <w:tc>
          <w:tcPr>
            <w:tcW w:w="10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7. FUTURE EQUITY OBLIGATIONS</w:t>
      </w:r>
    </w:p>
    <w:p>
      <w:pPr>
        <w:spacing w:after="0" w:line="213" w:lineRule="exact"/>
        <w:rPr>
          <w:sz w:val="20"/>
          <w:szCs w:val="20"/>
          <w:color w:val="auto"/>
        </w:rPr>
      </w:pPr>
    </w:p>
    <w:p>
      <w:pPr>
        <w:jc w:val="both"/>
        <w:ind w:left="2" w:firstLine="589"/>
        <w:spacing w:after="0" w:line="272" w:lineRule="auto"/>
        <w:rPr>
          <w:sz w:val="20"/>
          <w:szCs w:val="20"/>
          <w:color w:val="auto"/>
        </w:rPr>
      </w:pPr>
      <w:r>
        <w:rPr>
          <w:rFonts w:ascii="Times New Roman" w:cs="Times New Roman" w:eastAsia="Times New Roman" w:hAnsi="Times New Roman"/>
          <w:sz w:val="16"/>
          <w:szCs w:val="16"/>
          <w:color w:val="auto"/>
        </w:rPr>
        <w:t>In 2022 and 2021, the Company entered into Simple Agreements for Future Equity (“SAFE”) for aggregate purchase amounts of $12,885,001 and $7,925,000, respectively. The 2022 agreements, which provide the right of the investors to future equity in the Company, are subject to a valuation cap of $65.0 million for $2,300,000 of the purchase amount with the remaining agreements being uncapped. The agreements have a discount rate of 80%. The 2021 agreements had a valuation cap of $35.0 million.</w:t>
      </w:r>
    </w:p>
    <w:p>
      <w:pPr>
        <w:spacing w:after="0" w:line="356" w:lineRule="exact"/>
        <w:rPr>
          <w:sz w:val="20"/>
          <w:szCs w:val="20"/>
          <w:color w:val="auto"/>
        </w:rPr>
      </w:pPr>
    </w:p>
    <w:p>
      <w:pPr>
        <w:jc w:val="both"/>
        <w:ind w:left="2" w:firstLine="589"/>
        <w:spacing w:after="0" w:line="263" w:lineRule="auto"/>
        <w:rPr>
          <w:sz w:val="20"/>
          <w:szCs w:val="20"/>
          <w:color w:val="auto"/>
        </w:rPr>
      </w:pPr>
      <w:r>
        <w:rPr>
          <w:rFonts w:ascii="Times New Roman" w:cs="Times New Roman" w:eastAsia="Times New Roman" w:hAnsi="Times New Roman"/>
          <w:sz w:val="16"/>
          <w:szCs w:val="16"/>
          <w:color w:val="auto"/>
        </w:rPr>
        <w:t>For the 2022 SAFEs, if there is a preferred equity financing before the termination of the SAFEs, on the initial closing of such equity financing, this SAFE will automatically convert into the number of shares of Safe Preferred Stock equal to the Purchase Amount divided by the Discount Price or Conversion Price. The Discount Price is the price per share of the Standard Preferred Stock sold in the equity financing multiplied by the Discount Rate. The Conversion Price is (1) the Safe Price or</w:t>
      </w:r>
    </w:p>
    <w:p>
      <w:pPr>
        <w:spacing w:after="0" w:line="2" w:lineRule="exact"/>
        <w:rPr>
          <w:sz w:val="20"/>
          <w:szCs w:val="20"/>
          <w:color w:val="auto"/>
        </w:rPr>
      </w:pPr>
    </w:p>
    <w:p>
      <w:pPr>
        <w:ind w:left="2" w:hanging="2"/>
        <w:spacing w:after="0" w:line="272" w:lineRule="auto"/>
        <w:tabs>
          <w:tab w:leader="none" w:pos="23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Discount Price, whichever calculation results in a greater number of shares of Safe Preferred Stock. The SAFE price is the price per share equal to the valuation cap divided by the Company’s dilutive shares outstanding.</w:t>
      </w:r>
    </w:p>
    <w:p>
      <w:pPr>
        <w:spacing w:after="0" w:line="155" w:lineRule="exact"/>
        <w:rPr>
          <w:sz w:val="20"/>
          <w:szCs w:val="20"/>
          <w:color w:val="auto"/>
        </w:rPr>
      </w:pPr>
    </w:p>
    <w:p>
      <w:pPr>
        <w:jc w:val="both"/>
        <w:ind w:left="2" w:firstLine="589"/>
        <w:spacing w:after="0" w:line="265" w:lineRule="auto"/>
        <w:rPr>
          <w:sz w:val="20"/>
          <w:szCs w:val="20"/>
          <w:color w:val="auto"/>
        </w:rPr>
      </w:pPr>
      <w:r>
        <w:rPr>
          <w:rFonts w:ascii="Times New Roman" w:cs="Times New Roman" w:eastAsia="Times New Roman" w:hAnsi="Times New Roman"/>
          <w:sz w:val="16"/>
          <w:szCs w:val="16"/>
          <w:color w:val="auto"/>
        </w:rPr>
        <w:t>In October 2021, the Company completed an equity financing of Series Seed preferred stock (see Note 8) at a price per share of $3.1187. Upon this financing, all of the outstanding SAFEs then outstanding, automatically converted into Series Seed 1-3 preferred stock. Immediately prior to the conversion, the Company recorded a fair value adjustment to reflect the number of shares that the obligations converted into at the underlying fair value of the Series Seed preferred stock. At conversion, the fair value of the obligations was $18,968,155, which were then converted into (i) 2,440,411 shares of Series Seed-1 preferred stock, (ii) 2,088,696 shares of Series Seed-2 preferred stock, and (iii) 357,836 shares of Series Seed-3 preferred stock.</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8. STOCKHOLDERS’ EQUITY (DEFICIT)</w:t>
      </w:r>
    </w:p>
    <w:p>
      <w:pPr>
        <w:spacing w:after="0" w:line="20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213" w:lineRule="exact"/>
        <w:rPr>
          <w:sz w:val="20"/>
          <w:szCs w:val="20"/>
          <w:color w:val="auto"/>
        </w:rPr>
      </w:pPr>
    </w:p>
    <w:p>
      <w:pPr>
        <w:jc w:val="both"/>
        <w:ind w:left="2" w:firstLine="589"/>
        <w:spacing w:after="0" w:line="269" w:lineRule="auto"/>
        <w:rPr>
          <w:sz w:val="20"/>
          <w:szCs w:val="20"/>
          <w:color w:val="auto"/>
        </w:rPr>
      </w:pPr>
      <w:r>
        <w:rPr>
          <w:rFonts w:ascii="Times New Roman" w:cs="Times New Roman" w:eastAsia="Times New Roman" w:hAnsi="Times New Roman"/>
          <w:sz w:val="16"/>
          <w:szCs w:val="16"/>
          <w:color w:val="auto"/>
        </w:rPr>
        <w:t>The Company has issued Series Seed, Series Seed-1, Series Seed-2 and Series Seed-3 convertible preferred stock (collectively referred to as “Preferred Stock”). As of December 31, 2022, the Company’s certificate of incorporation, as amended and restated, authorized the Company to issue a total of 10,090,150 shares of Preferred Stock, of which 4,008,079 shares were designated as Series Seed Preferred Stock, 3,037,227 shares were designated as Series Seed-1 Preferred Stock, 2,599,497 shares were designated as Series Seed-2 Preferred Stock and 445,437 shares were designated as Series Seed-3 Preferred Stock.</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holders of the Preferred Stock have the following rights and preferences:</w:t>
      </w:r>
    </w:p>
    <w:p>
      <w:pPr>
        <w:spacing w:after="0" w:line="20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211" w:lineRule="exact"/>
        <w:rPr>
          <w:sz w:val="20"/>
          <w:szCs w:val="20"/>
          <w:color w:val="auto"/>
        </w:rPr>
      </w:pPr>
    </w:p>
    <w:p>
      <w:pPr>
        <w:jc w:val="both"/>
        <w:ind w:left="2" w:firstLine="589"/>
        <w:spacing w:after="0" w:line="275" w:lineRule="auto"/>
        <w:rPr>
          <w:sz w:val="20"/>
          <w:szCs w:val="20"/>
          <w:color w:val="auto"/>
        </w:rPr>
      </w:pPr>
      <w:r>
        <w:rPr>
          <w:rFonts w:ascii="Times New Roman" w:cs="Times New Roman" w:eastAsia="Times New Roman" w:hAnsi="Times New Roman"/>
          <w:sz w:val="16"/>
          <w:szCs w:val="16"/>
          <w:color w:val="auto"/>
        </w:rPr>
        <w:t>The holders of Preferred Stock are entitled to vote, together with the holders of common stock as a single class, on all matters submitted to stockholders for a vote and have the right to vote the number of shares equal to the number of shares of common stock into which each share of Preferred Stock could convert on the record date for determination of stockholders entitled to vote.</w:t>
      </w:r>
    </w:p>
    <w:p>
      <w:pPr>
        <w:spacing w:after="0" w:line="15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Preferred Stock holders, voting together as a single class, shall be entitled to elect one director of the Company.</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149" w:name="page150"/>
    <w:bookmarkEnd w:id="149"/>
    <w:p>
      <w:pPr>
        <w:ind w:left="58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11" w:lineRule="exact"/>
        <w:rPr>
          <w:sz w:val="20"/>
          <w:szCs w:val="20"/>
          <w:color w:val="auto"/>
        </w:rPr>
      </w:pPr>
    </w:p>
    <w:p>
      <w:pPr>
        <w:jc w:val="both"/>
        <w:ind w:firstLine="589"/>
        <w:spacing w:after="0" w:line="262" w:lineRule="auto"/>
        <w:rPr>
          <w:sz w:val="20"/>
          <w:szCs w:val="20"/>
          <w:color w:val="auto"/>
        </w:rPr>
      </w:pPr>
      <w:r>
        <w:rPr>
          <w:rFonts w:ascii="Times New Roman" w:cs="Times New Roman" w:eastAsia="Times New Roman" w:hAnsi="Times New Roman"/>
          <w:sz w:val="16"/>
          <w:szCs w:val="16"/>
          <w:color w:val="auto"/>
        </w:rPr>
        <w:t>The Company shall not declare, pay or set aside any dividends on shares of any class or series of capital stock of the Company unless the holders of Preferred Stock then outstanding shall first receive, or simultaneously receive, on a pari passu, equal priority basis a non-cumulative dividend on each outstanding share of each series of Preferred Stock in an amount to 8% of the Original Issue Price per share per annum for each series of Preferred Stock. The foregoing dividends shall not be cumulative and shall be paid, when, as and if declared by the Company’s board of directors. The Original Issue Price is (i) $3.8814 per share for the Series Seed Preferred Stock, (ii) $1.5161 per share for Series Seed-1 Preferred Stock, (iii) 2.7170 per share for Series Seed-2 Preferred Stock and (iv) $3.4932 per share for Series Seed-3 Preferred Stock. After payment to Preferred stockholders, any additional dividends shall be distributed among all holders of Common Stock and Preferred Stock in proportion to the number of shares of Common Stock that would be held if all holders of Preferred Stock were converted.</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211"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the Company or deemed liquidation event, the preferred stockholders, on a pari passu basis, shall be entitled to a liquidation preference equal to the greater of (i) the applicable Original Issuance Price applicable to each series, plus any dividends declared but unpaid on such share and (ii) such amount per share as would have been payable had all shares of such series of Preferred Stock been converted into Common Stock. After the payment of all preferential amounts to preferred stockholders, the remaining assets available for distribution shall be distributed among common stockholders on a pro-rata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As of December 31, 2022 and 2021, the liquidation preferences were as follows: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9"/>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 preferred stock</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11,999,997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10,999,998</w:t>
            </w:r>
          </w:p>
        </w:tc>
        <w:tc>
          <w:tcPr>
            <w:tcW w:w="100" w:type="dxa"/>
            <w:vAlign w:val="bottom"/>
            <w:shd w:val="clear" w:color="auto" w:fill="CCEEFF"/>
          </w:tcPr>
          <w:p>
            <w:pPr>
              <w:spacing w:after="0"/>
              <w:rPr>
                <w:sz w:val="17"/>
                <w:szCs w:val="17"/>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Series Seed-1 preferred stock</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3,699,950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3,699,950</w:t>
            </w:r>
          </w:p>
        </w:tc>
        <w:tc>
          <w:tcPr>
            <w:tcW w:w="100" w:type="dxa"/>
            <w:vAlign w:val="bottom"/>
          </w:tcPr>
          <w:p>
            <w:pPr>
              <w:spacing w:after="0"/>
              <w:rPr>
                <w:sz w:val="17"/>
                <w:szCs w:val="17"/>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Seed-2 preferred stock</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5,674,962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5,674,962</w:t>
            </w:r>
          </w:p>
        </w:tc>
        <w:tc>
          <w:tcPr>
            <w:tcW w:w="100" w:type="dxa"/>
            <w:vAlign w:val="bottom"/>
            <w:shd w:val="clear" w:color="auto" w:fill="CCEEFF"/>
          </w:tcPr>
          <w:p>
            <w:pPr>
              <w:spacing w:after="0"/>
              <w:rPr>
                <w:sz w:val="17"/>
                <w:szCs w:val="17"/>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Series Seed-3 preferred stock</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tcPr>
          <w:p>
            <w:pPr>
              <w:spacing w:after="0"/>
              <w:rPr>
                <w:sz w:val="18"/>
                <w:szCs w:val="18"/>
                <w:color w:val="auto"/>
              </w:rPr>
            </w:pPr>
          </w:p>
        </w:tc>
      </w:tr>
      <w:tr>
        <w:trPr>
          <w:trHeight w:val="25"/>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5"/>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22,629,909</w:t>
            </w:r>
          </w:p>
        </w:tc>
        <w:tc>
          <w:tcPr>
            <w:tcW w:w="4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21,624,910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211"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Each share of Preferred Stock is convertible into common stock, at the option of the holder, at any time after the date of issuance. In addition, each share of Preferred Stock will be automatically converted into shares of common stock at the applicable conversion ratio then in effect (i) upon the closing of a firm-commitment public offering resulting in at least $50,000,000 of gross proceeds to the Company (or $11.6442 per share), subject to appropriate adjustment in the event of any stock dividend, stock split, combination or other similar recapitalization, or (ii) upon the written consent of the holders of a majority of the then-outstanding shares of Preferred Stock, voting together as a single class.</w:t>
      </w:r>
    </w:p>
    <w:p>
      <w:pPr>
        <w:spacing w:after="0" w:line="162"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The conversion ratio of each series of Preferred Stock is determined by dividing the original issue price of each series by the conversion price of each series. The conversion price per share is (i) $3.8814 per share for the Series Seed Preferred Stock, (ii) $1.5161 per share for Series Seed-1 Preferred Stock, (iii) 2.7170 per share for Series Seed-2 Preferred Stock and (iv) $3.4932 per share for Series Seed-3 Preferred Stock, each subject to appropriate adjustment in the event of any stock dividend, stock split, combination or other similar recapitalization. Accordingly, as of December 31, 2022, each share outstanding of each series of Preferred Stock was convertible into shares of common stock on a one-for-one basis.</w:t>
      </w:r>
    </w:p>
    <w:p>
      <w:pPr>
        <w:spacing w:after="0" w:line="162"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In the event that the Company issues additional securities at a purchase price less than the conversion price for a series of Preferred Stock, the conversion price shall be adjusted pursuant an anti-dilution formula defined in the certificate of incorporation, as amended and restated.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50" w:name="page151"/>
    <w:bookmarkEnd w:id="150"/>
    <w:p>
      <w:pPr>
        <w:ind w:left="580"/>
        <w:spacing w:after="0"/>
        <w:rPr>
          <w:sz w:val="20"/>
          <w:szCs w:val="20"/>
          <w:color w:val="auto"/>
        </w:rPr>
      </w:pPr>
      <w:r>
        <w:rPr>
          <w:rFonts w:ascii="Times New Roman" w:cs="Times New Roman" w:eastAsia="Times New Roman" w:hAnsi="Times New Roman"/>
          <w:sz w:val="16"/>
          <w:szCs w:val="16"/>
          <w:i w:val="1"/>
          <w:iCs w:val="1"/>
          <w:color w:val="auto"/>
        </w:rPr>
        <w:t>Transactions</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February 2022, the Company issued 257,639 shares of Series Seed Preferred Stock for gross proceeds of $999,999, or $3.8814 per share.</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October 2021, the Company issued 2,834,033 shares of Series Seed Preferred Stock for gross proceeds of $10,999,998, or $3.8814 per share.</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Note 7 for conversion of SAFEs into preferred stock.</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213"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After the Company’s amended to its certificate of incorporation in February 2022, the Company authorized 21,200,000 shares of common stock at $0.0001 par value as of December 31, 2022 (See Note 3 for presentation of authorized shares).</w:t>
      </w:r>
    </w:p>
    <w:p>
      <w:pPr>
        <w:spacing w:after="0" w:line="138"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Common stockholders have voting rights of one vote per share and are entitled to elect two directors of the Company. The voting, dividend, and liquidation rights of the holders of common stock are subject to and qualified by the rights, powers, and preferences of preferred stockholders.</w:t>
      </w:r>
    </w:p>
    <w:p>
      <w:pPr>
        <w:spacing w:after="0" w:line="138"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During the period ended December 31, 2021, the Company issued 3,535,400 shares of common stock to founders for proceeds of $4,400. Such are restricted and subject to vesting over four years.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Restricted Common Stock</w:t>
      </w:r>
    </w:p>
    <w:p>
      <w:pPr>
        <w:spacing w:after="0" w:line="213" w:lineRule="exact"/>
        <w:rPr>
          <w:sz w:val="20"/>
          <w:szCs w:val="20"/>
          <w:color w:val="auto"/>
        </w:rPr>
      </w:pPr>
    </w:p>
    <w:p>
      <w:pPr>
        <w:jc w:val="both"/>
        <w:ind w:firstLine="589"/>
        <w:spacing w:after="0" w:line="265" w:lineRule="auto"/>
        <w:rPr>
          <w:sz w:val="20"/>
          <w:szCs w:val="20"/>
          <w:color w:val="auto"/>
        </w:rPr>
      </w:pPr>
      <w:r>
        <w:rPr>
          <w:rFonts w:ascii="Times New Roman" w:cs="Times New Roman" w:eastAsia="Times New Roman" w:hAnsi="Times New Roman"/>
          <w:sz w:val="16"/>
          <w:szCs w:val="16"/>
          <w:color w:val="auto"/>
        </w:rPr>
        <w:t>During the period ended December 31, 2021, the Company issued 3,575,723 shares of restricted common stock, net of repurchases, for proceeds of $4,646. Of the restricted shares granted, 1,208,846 awards were originally subject to specified vesting milestones there were not expected to be met and therefore, no expense was recorded. In October 2022, the Company modified the milestone awards to eliminate the milestone requirements, to the extent they were still outstanding as of September 15, 2022. The shares became subject to time vesting, monthly over four years. Due to the modification, the Company recognized additional stock compensation of $137,196. The awards without milestones, vest monthly over time, generally over a four-year period with a one-year cliff.</w:t>
      </w:r>
    </w:p>
    <w:p>
      <w:pPr>
        <w:spacing w:after="0" w:line="162" w:lineRule="exact"/>
        <w:rPr>
          <w:sz w:val="20"/>
          <w:szCs w:val="20"/>
          <w:color w:val="auto"/>
        </w:rPr>
      </w:pPr>
    </w:p>
    <w:p>
      <w:pPr>
        <w:jc w:val="both"/>
        <w:ind w:firstLine="589"/>
        <w:spacing w:after="0" w:line="262" w:lineRule="auto"/>
        <w:rPr>
          <w:sz w:val="20"/>
          <w:szCs w:val="20"/>
          <w:color w:val="auto"/>
        </w:rPr>
      </w:pPr>
      <w:r>
        <w:rPr>
          <w:rFonts w:ascii="Times New Roman" w:cs="Times New Roman" w:eastAsia="Times New Roman" w:hAnsi="Times New Roman"/>
          <w:sz w:val="16"/>
          <w:szCs w:val="16"/>
          <w:color w:val="auto"/>
        </w:rPr>
        <w:t>During 2022, the Company issued 338,121 shares of restricted common stock for full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by the Company per the terms of the agreement, and unvested shares are repurchased. The Company reduced the liability and increased additional paid-in capital for the value of the note associated with vested shares no longer subject to the call right. In connection with this grant, the Company recognized stock compensation of $4,250.</w:t>
      </w:r>
    </w:p>
    <w:p>
      <w:pPr>
        <w:spacing w:after="0" w:line="165"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As of December 31, 2022, inclusive of founders restricted stock described above, 2,354,466 shares of common stock had vested and 6,826,352 shares of common stock were outstanding. Total issued shares of common stock totaled 7,161,654, which includes the shares of restricted stock issued with the recourse note.</w:t>
      </w:r>
    </w:p>
    <w:p>
      <w:pPr>
        <w:spacing w:after="0" w:line="138"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During the years ended December 31, 2022 and 2021, the Company recorded stock-based compensation pertaining to vesting of restricted common stock of $141,446 and $0, respectively.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2022, the Company repurchased restricted stock awards of 287,591 shares of common stock for nominal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color w:val="auto"/>
        </w:rPr>
        <w:t>9. STOCK-BASED COMPENSATION</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Serve Robotics 2021 Equity Incentive Plan</w:t>
      </w:r>
    </w:p>
    <w:p>
      <w:pPr>
        <w:spacing w:after="0" w:line="211" w:lineRule="exact"/>
        <w:rPr>
          <w:sz w:val="20"/>
          <w:szCs w:val="20"/>
          <w:color w:val="auto"/>
        </w:rPr>
      </w:pPr>
    </w:p>
    <w:p>
      <w:pPr>
        <w:jc w:val="both"/>
        <w:ind w:firstLine="589"/>
        <w:spacing w:after="0" w:line="263" w:lineRule="auto"/>
        <w:rPr>
          <w:sz w:val="20"/>
          <w:szCs w:val="20"/>
          <w:color w:val="auto"/>
        </w:rPr>
      </w:pPr>
      <w:r>
        <w:rPr>
          <w:rFonts w:ascii="Times New Roman" w:cs="Times New Roman" w:eastAsia="Times New Roman" w:hAnsi="Times New Roman"/>
          <w:sz w:val="16"/>
          <w:szCs w:val="16"/>
          <w:color w:val="auto"/>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2022. The option exercise price generally may not be less than the underlying stock’s fair market value at the date of the grant and generally have a term of ten years. The amounts granted each calendar year to an employee or non-employee is limited depending on the type of award. As of December 31, 2022, there were 4,009,354 shares available for grant under the 2021 Plan. Stock options granted under the 2021 Plan typically vest over a four-year period, with a 1-year cliff as well as via specified milestones.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2021 and 2022, the Company granted 590,073 and 639,682 options, with weighted average grant date fair values of $0.34 per share.</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summary of information related to stock options for the periods ended December 31, 2022 and 2021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21"/>
        </w:trPr>
        <w:tc>
          <w:tcPr>
            <w:tcW w:w="732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9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590,073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590,073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0.49</w:t>
            </w:r>
          </w:p>
        </w:tc>
        <w:tc>
          <w:tcPr>
            <w:tcW w:w="280" w:type="dxa"/>
            <w:vAlign w:val="bottom"/>
            <w:tcBorders>
              <w:top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639,682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(368,446)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0.49</w:t>
            </w:r>
          </w:p>
        </w:tc>
        <w:tc>
          <w:tcPr>
            <w:tcW w:w="280" w:type="dxa"/>
            <w:vAlign w:val="bottom"/>
            <w:gridSpan w:val="2"/>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320" w:type="dxa"/>
            <w:vAlign w:val="bottom"/>
            <w:vMerge w:val="continue"/>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861,309</w:t>
            </w:r>
          </w:p>
        </w:tc>
        <w:tc>
          <w:tcPr>
            <w:tcW w:w="16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as of December 31, 2022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170,125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0.49</w:t>
            </w: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as of December 31, 2021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0.49</w:t>
            </w:r>
          </w:p>
        </w:tc>
        <w:tc>
          <w:tcPr>
            <w:tcW w:w="2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December 31, 2022, the weighted average duration to expiration of outstanding options was 9.2 years.</w:t>
      </w:r>
    </w:p>
    <w:p>
      <w:pPr>
        <w:spacing w:after="0" w:line="209" w:lineRule="exact"/>
        <w:rPr>
          <w:sz w:val="20"/>
          <w:szCs w:val="20"/>
          <w:color w:val="auto"/>
        </w:rPr>
      </w:pPr>
    </w:p>
    <w:p>
      <w:pPr>
        <w:jc w:val="both"/>
        <w:ind w:firstLine="589"/>
        <w:spacing w:after="0" w:line="263" w:lineRule="auto"/>
        <w:rPr>
          <w:sz w:val="20"/>
          <w:szCs w:val="20"/>
          <w:color w:val="auto"/>
        </w:rPr>
      </w:pPr>
      <w:r>
        <w:rPr>
          <w:rFonts w:ascii="Times New Roman" w:cs="Times New Roman" w:eastAsia="Times New Roman" w:hAnsi="Times New Roman"/>
          <w:sz w:val="16"/>
          <w:szCs w:val="16"/>
          <w:color w:val="auto"/>
        </w:rPr>
        <w:t>Of the 2021 options granted; 159,876 options were granted with performance conditions based on specified milestones. As of December 31, 2021, none of these milestones were met or were probable of being met and the Company did not recognize any stock-based compensation expense pertaining to these options. In October 2022, the Company agreed to modify previous common stock and option equity awards that were subject to milestone vesting, to the extent they were still outstanding as of September 15, 2022, to time based vesting. All such awards had the milestones eliminated, and vest monthly over four years. Certain shares are subject to acceleration of vesting upon termination without cause. The value of the options before and after modification were not significantly different. The additional expense upon modification is included in the overall $57,860 of stock compensation from options disclosed above.</w:t>
      </w:r>
    </w:p>
    <w:p>
      <w:pPr>
        <w:spacing w:after="0" w:line="165"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Stock-based compensation expense for stock options of $57,860 and $7,111 was recognized under ASC 718 for the periods ended December 31, 2022 and 2021, respectively. Total unrecognized compensation cost related to non-vested stock option awards amounted to approximately $303,000 as of December 31, 2022, which will be recognized over a weighted average period of 2.06 years.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4"/>
        </w:trPr>
        <w:tc>
          <w:tcPr>
            <w:tcW w:w="86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stock options were valued using the Black-Scholes pricing model using the range of inputs as indicated below:</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1"/>
        </w:trPr>
        <w:tc>
          <w:tcPr>
            <w:tcW w:w="8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196"/>
        </w:trPr>
        <w:tc>
          <w:tcPr>
            <w:tcW w:w="8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196"/>
        </w:trPr>
        <w:tc>
          <w:tcPr>
            <w:tcW w:w="8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January 15,</w:t>
            </w:r>
          </w:p>
        </w:tc>
      </w:tr>
      <w:tr>
        <w:trPr>
          <w:trHeight w:val="196"/>
        </w:trPr>
        <w:tc>
          <w:tcPr>
            <w:tcW w:w="8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r>
      <w:tr>
        <w:trPr>
          <w:trHeight w:val="196"/>
        </w:trPr>
        <w:tc>
          <w:tcPr>
            <w:tcW w:w="86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 to</w:t>
            </w:r>
          </w:p>
        </w:tc>
      </w:tr>
      <w:tr>
        <w:trPr>
          <w:trHeight w:val="209"/>
        </w:trPr>
        <w:tc>
          <w:tcPr>
            <w:tcW w:w="86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1"/>
        </w:trPr>
        <w:tc>
          <w:tcPr>
            <w:tcW w:w="86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9"/>
                <w:szCs w:val="19"/>
                <w:color w:val="auto"/>
              </w:rPr>
            </w:pPr>
          </w:p>
        </w:tc>
      </w:tr>
      <w:tr>
        <w:trPr>
          <w:trHeight w:val="19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196"/>
        </w:trPr>
        <w:tc>
          <w:tcPr>
            <w:tcW w:w="862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6.0-6.3</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5.5-6.3</w:t>
            </w:r>
          </w:p>
        </w:tc>
      </w:tr>
      <w:tr>
        <w:trPr>
          <w:trHeight w:val="19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4"/>
        </w:trPr>
        <w:tc>
          <w:tcPr>
            <w:tcW w:w="862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bl>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213"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In connection with the SVB note (see Note 6), the Company issued 40,292 warrants to purchase common stock. The warrants have an exercise price of $0.49 per share, are immediately exercisable and have a term of 12 years. The fair value of the warrant was $49,000. The Black-Scholes inputs used were similar to those described in stock-options above, other than the contractual term was used for expected life.</w:t>
      </w:r>
    </w:p>
    <w:p>
      <w:pPr>
        <w:spacing w:after="0" w:line="153"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During the period ended December 31, 2021, the Company granted 13,911 warrants to purchase common stock, exercisable at $3.88 per share. The warrants were valued using the Black-Scholes option-pricing model for a fair value of $0.11 per share and $1,603 was recognized as stock-compensation expense. The warrants vest monthly over 12 months. The Black-Scholes inputs used were similar to those described in stock-options above, other than the contractual term was used for expected life.</w:t>
      </w:r>
    </w:p>
    <w:p>
      <w:pPr>
        <w:spacing w:after="0" w:line="153" w:lineRule="exact"/>
        <w:rPr>
          <w:sz w:val="20"/>
          <w:szCs w:val="20"/>
          <w:color w:val="auto"/>
        </w:rPr>
      </w:pPr>
    </w:p>
    <w:p>
      <w:pPr>
        <w:jc w:val="both"/>
        <w:ind w:firstLine="589"/>
        <w:spacing w:after="0" w:line="267" w:lineRule="auto"/>
        <w:rPr>
          <w:sz w:val="20"/>
          <w:szCs w:val="20"/>
          <w:color w:val="auto"/>
        </w:rPr>
      </w:pPr>
      <w:r>
        <w:rPr>
          <w:rFonts w:ascii="Times New Roman" w:cs="Times New Roman" w:eastAsia="Times New Roman" w:hAnsi="Times New Roman"/>
          <w:sz w:val="16"/>
          <w:szCs w:val="16"/>
          <w:color w:val="auto"/>
        </w:rPr>
        <w:t>During the period ended December 31, 2021 the Company issued 128,819 warrants to purchase shares of preferred stock, exercisable at $3.88 per share. The warrants were valued using the Black-Scholes option pricing model and have a grant-date fair value of $2.78 per share, or total fair value of $373,704 using inputs similar to those described in stock options above other than the contractual term was used for expected life. The warrants vest based on specified milestones. As of December 31, 2022 and 2021, the milestones were not met and no warrants had vested. Therefore, the Company did not recognize any stock-based compensation expense pertaining to these warrants.</w:t>
      </w:r>
    </w:p>
    <w:p>
      <w:pPr>
        <w:spacing w:after="0" w:line="3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Classification</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Stock-based compensation expense for stock options was classified in the statements of operations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Period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36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36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r>
      <w:tr>
        <w:trPr>
          <w:trHeight w:val="19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00" w:type="dxa"/>
            <w:vAlign w:val="bottom"/>
            <w:shd w:val="clear" w:color="auto" w:fill="CCEEFF"/>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Operations</w:t>
            </w:r>
          </w:p>
        </w:tc>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152,739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5"/>
        </w:trPr>
        <w:tc>
          <w:tcPr>
            <w:tcW w:w="362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5"/>
        </w:trPr>
        <w:tc>
          <w:tcPr>
            <w:tcW w:w="36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195,056</w:t>
            </w:r>
          </w:p>
        </w:tc>
        <w:tc>
          <w:tcPr>
            <w:tcW w:w="4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00" w:type="dxa"/>
            <w:vAlign w:val="bottom"/>
            <w:shd w:val="clear" w:color="auto" w:fill="CCEEFF"/>
          </w:tcPr>
          <w:p>
            <w:pPr>
              <w:spacing w:after="0"/>
              <w:rPr>
                <w:sz w:val="19"/>
                <w:szCs w:val="19"/>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590"/>
        </w:trPr>
        <w:tc>
          <w:tcPr>
            <w:tcW w:w="36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jc w:val="right"/>
              <w:ind w:right="3058"/>
              <w:spacing w:after="0"/>
              <w:rPr>
                <w:sz w:val="20"/>
                <w:szCs w:val="20"/>
                <w:color w:val="auto"/>
              </w:rPr>
            </w:pPr>
            <w:r>
              <w:rPr>
                <w:rFonts w:ascii="Times New Roman" w:cs="Times New Roman" w:eastAsia="Times New Roman" w:hAnsi="Times New Roman"/>
                <w:sz w:val="16"/>
                <w:szCs w:val="16"/>
                <w:color w:val="auto"/>
              </w:rPr>
              <w:t>F-22</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5" w:right="339" w:bottom="1440" w:gutter="0" w:footer="0" w:header="0"/>
        </w:sectPr>
      </w:pPr>
    </w:p>
    <w:bookmarkStart w:id="153" w:name="page154"/>
    <w:bookmarkEnd w:id="153"/>
    <w:p>
      <w:pPr>
        <w:ind w:left="2"/>
        <w:spacing w:after="0"/>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213" w:lineRule="exact"/>
        <w:rPr>
          <w:sz w:val="20"/>
          <w:szCs w:val="20"/>
          <w:color w:val="auto"/>
        </w:rPr>
      </w:pPr>
    </w:p>
    <w:p>
      <w:pPr>
        <w:jc w:val="both"/>
        <w:ind w:left="2" w:firstLine="589"/>
        <w:spacing w:after="0" w:line="275" w:lineRule="auto"/>
        <w:rPr>
          <w:sz w:val="20"/>
          <w:szCs w:val="20"/>
          <w:color w:val="auto"/>
        </w:rPr>
      </w:pPr>
      <w:r>
        <w:rPr>
          <w:rFonts w:ascii="Times New Roman" w:cs="Times New Roman" w:eastAsia="Times New Roman" w:hAnsi="Times New Roman"/>
          <w:sz w:val="16"/>
          <w:szCs w:val="16"/>
          <w:color w:val="auto"/>
        </w:rPr>
        <w:t>Deferred taxes are recognized for temporary differences between the basis of assets and liabilities for financial statement and income tax purposes. The differences relate solely to net operating loss carryforwards. As of December 31, 2022 and 2021, the Company had net deferred tax assets before valuation allowance of $8,978,639 and $2,982,757, respectively. The following table presents the deferred tax assets and liabilities by source:</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8,940,441</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2,982,757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temporary differences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85,998</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(9,026,439)</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(2,982,757)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deferred tax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2" w:firstLine="589"/>
        <w:spacing w:after="0" w:line="262" w:lineRule="auto"/>
        <w:rPr>
          <w:sz w:val="20"/>
          <w:szCs w:val="20"/>
          <w:color w:val="auto"/>
        </w:rPr>
      </w:pPr>
      <w:r>
        <w:rPr>
          <w:rFonts w:ascii="Times New Roman" w:cs="Times New Roman" w:eastAsia="Times New Roman" w:hAnsi="Times New Roman"/>
          <w:sz w:val="16"/>
          <w:szCs w:val="16"/>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2022 and 2021, cumulative losses through December 31, 2022, and no history of generating taxable income. Therefore, valuation allowances of $9,026,439 and $2,982,757 were recorded as of December 31, 2022 and 2021, respectively. Valuation allowance increased by $6,043,682 and $2,982,757 during the periods ended December 31, 2022 and 2021, respectively. Deferred tax assets were calculated using the Company’s combined effective tax rate, which it estimated to be 28.0%. The effective rate is reduced to 0% due to the full valuation allowance on net deferred tax assets.</w:t>
      </w:r>
    </w:p>
    <w:p>
      <w:pPr>
        <w:spacing w:after="0" w:line="165" w:lineRule="exact"/>
        <w:rPr>
          <w:sz w:val="20"/>
          <w:szCs w:val="20"/>
          <w:color w:val="auto"/>
        </w:rPr>
      </w:pPr>
    </w:p>
    <w:p>
      <w:pPr>
        <w:jc w:val="both"/>
        <w:ind w:left="2" w:firstLine="589"/>
        <w:spacing w:after="0" w:line="294" w:lineRule="auto"/>
        <w:rPr>
          <w:sz w:val="20"/>
          <w:szCs w:val="20"/>
          <w:color w:val="auto"/>
        </w:rPr>
      </w:pPr>
      <w:r>
        <w:rPr>
          <w:rFonts w:ascii="Times New Roman" w:cs="Times New Roman" w:eastAsia="Times New Roman" w:hAnsi="Times New Roman"/>
          <w:sz w:val="16"/>
          <w:szCs w:val="16"/>
          <w:color w:val="auto"/>
        </w:rPr>
        <w:t>The Company’s ability to utilize net operating loss carryforwards will depend on its ability to generate adequate future taxable income. At December 31, 2022 and 2021, the Company had net operating loss carryforwards available to offset future taxable income in the amount of $31,805,199 and $10,611,018, respectively.</w:t>
      </w:r>
    </w:p>
    <w:p>
      <w:pPr>
        <w:spacing w:after="0" w:line="138" w:lineRule="exact"/>
        <w:rPr>
          <w:sz w:val="20"/>
          <w:szCs w:val="20"/>
          <w:color w:val="auto"/>
        </w:rPr>
      </w:pPr>
    </w:p>
    <w:p>
      <w:pPr>
        <w:jc w:val="both"/>
        <w:ind w:left="2" w:firstLine="589"/>
        <w:spacing w:after="0" w:line="294" w:lineRule="auto"/>
        <w:rPr>
          <w:sz w:val="20"/>
          <w:szCs w:val="20"/>
          <w:color w:val="auto"/>
        </w:rPr>
      </w:pPr>
      <w:r>
        <w:rPr>
          <w:rFonts w:ascii="Times New Roman" w:cs="Times New Roman" w:eastAsia="Times New Roman" w:hAnsi="Times New Roman"/>
          <w:sz w:val="16"/>
          <w:szCs w:val="16"/>
          <w:color w:val="auto"/>
        </w:rPr>
        <w:t>The Company has evaluated its income tax positions and has determined that it does not have any uncertain tax positions. The Company will recognize interest and penalties related to any uncertain tax positions through its income tax expense.</w:t>
      </w:r>
    </w:p>
    <w:p>
      <w:pPr>
        <w:spacing w:after="0" w:line="138" w:lineRule="exact"/>
        <w:rPr>
          <w:sz w:val="20"/>
          <w:szCs w:val="20"/>
          <w:color w:val="auto"/>
        </w:rPr>
      </w:pPr>
    </w:p>
    <w:p>
      <w:pPr>
        <w:jc w:val="both"/>
        <w:ind w:left="2" w:firstLine="589"/>
        <w:spacing w:after="0" w:line="294" w:lineRule="auto"/>
        <w:rPr>
          <w:sz w:val="20"/>
          <w:szCs w:val="20"/>
          <w:color w:val="auto"/>
        </w:rPr>
      </w:pPr>
      <w:r>
        <w:rPr>
          <w:rFonts w:ascii="Times New Roman" w:cs="Times New Roman" w:eastAsia="Times New Roman" w:hAnsi="Times New Roman"/>
          <w:sz w:val="16"/>
          <w:szCs w:val="16"/>
          <w:color w:val="auto"/>
        </w:rPr>
        <w:t>The Company may in the future become subject to federal, state and local income taxation though it has not been since its inception, other than minimum state tax. The Company is not presently subject to any income tax audit in any taxing jurisdiction, though its 2021-2022 tax years remain open to examination.</w:t>
      </w:r>
    </w:p>
    <w:p>
      <w:pPr>
        <w:spacing w:after="0" w:line="134" w:lineRule="exact"/>
        <w:rPr>
          <w:sz w:val="20"/>
          <w:szCs w:val="20"/>
          <w:color w:val="auto"/>
        </w:rPr>
      </w:pPr>
    </w:p>
    <w:p>
      <w:pPr>
        <w:jc w:val="right"/>
        <w:ind w:left="582" w:right="7880" w:hanging="582"/>
        <w:spacing w:after="0" w:line="514" w:lineRule="auto"/>
        <w:tabs>
          <w:tab w:leader="none" w:pos="229"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b w:val="1"/>
          <w:bCs w:val="1"/>
          <w:i w:val="1"/>
          <w:iCs w:val="1"/>
          <w:color w:val="auto"/>
        </w:rPr>
        <w:t>Leases – Right of Use Asset and Liability</w:t>
      </w:r>
    </w:p>
    <w:p>
      <w:pPr>
        <w:spacing w:after="0" w:line="1" w:lineRule="exact"/>
        <w:rPr>
          <w:sz w:val="20"/>
          <w:szCs w:val="20"/>
          <w:color w:val="auto"/>
        </w:rPr>
      </w:pPr>
    </w:p>
    <w:p>
      <w:pPr>
        <w:jc w:val="both"/>
        <w:ind w:left="2" w:firstLine="589"/>
        <w:spacing w:after="0" w:line="265" w:lineRule="auto"/>
        <w:rPr>
          <w:sz w:val="20"/>
          <w:szCs w:val="20"/>
          <w:color w:val="auto"/>
        </w:rPr>
      </w:pPr>
      <w:r>
        <w:rPr>
          <w:rFonts w:ascii="Times New Roman" w:cs="Times New Roman" w:eastAsia="Times New Roman" w:hAnsi="Times New Roman"/>
          <w:sz w:val="16"/>
          <w:szCs w:val="16"/>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62" w:lineRule="exact"/>
        <w:rPr>
          <w:sz w:val="20"/>
          <w:szCs w:val="20"/>
          <w:color w:val="auto"/>
        </w:rPr>
      </w:pPr>
    </w:p>
    <w:p>
      <w:pPr>
        <w:jc w:val="both"/>
        <w:ind w:left="2" w:firstLine="589"/>
        <w:spacing w:after="0" w:line="294" w:lineRule="auto"/>
        <w:rPr>
          <w:sz w:val="20"/>
          <w:szCs w:val="20"/>
          <w:color w:val="auto"/>
        </w:rPr>
      </w:pPr>
      <w:r>
        <w:rPr>
          <w:rFonts w:ascii="Times New Roman" w:cs="Times New Roman" w:eastAsia="Times New Roman" w:hAnsi="Times New Roman"/>
          <w:sz w:val="16"/>
          <w:szCs w:val="16"/>
          <w:color w:val="auto"/>
        </w:rPr>
        <w:t>The Company has elected the practical expedient not to recognize leases with an initial term of 12 months or less on its balance sheet and lease expense is recognized on a straight-line basis over the term of the short-term lease.</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1"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4"/>
        </w:trPr>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The components of lease costs are as follows:</w:t>
            </w: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Statement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Period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Line Item</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center"/>
              <w:ind w:right="29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621,388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costs</w:t>
            </w:r>
          </w:p>
        </w:tc>
        <w:tc>
          <w:tcPr>
            <w:tcW w:w="2820" w:type="dxa"/>
            <w:vAlign w:val="bottom"/>
          </w:tcPr>
          <w:p>
            <w:pPr>
              <w:spacing w:after="0"/>
              <w:rPr>
                <w:sz w:val="18"/>
                <w:szCs w:val="18"/>
                <w:color w:val="auto"/>
              </w:rPr>
            </w:pPr>
          </w:p>
        </w:tc>
        <w:tc>
          <w:tcPr>
            <w:tcW w:w="3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621,388</w:t>
            </w:r>
          </w:p>
        </w:tc>
        <w:tc>
          <w:tcPr>
            <w:tcW w:w="120" w:type="dxa"/>
            <w:vAlign w:val="bottom"/>
          </w:tcPr>
          <w:p>
            <w:pPr>
              <w:spacing w:after="0"/>
              <w:rPr>
                <w:sz w:val="18"/>
                <w:szCs w:val="18"/>
                <w:color w:val="auto"/>
              </w:rPr>
            </w:pPr>
          </w:p>
        </w:tc>
        <w:tc>
          <w:tcPr>
            <w:tcW w:w="380" w:type="dxa"/>
            <w:vAlign w:val="bottom"/>
            <w:gridSpan w:val="2"/>
          </w:tcPr>
          <w:p>
            <w:pPr>
              <w:jc w:val="right"/>
              <w:ind w:right="23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Supplemental cash flow information related to leases are as follows:</w:t>
            </w: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76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Period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cash flows paid for operating leases</w:t>
            </w:r>
          </w:p>
        </w:tc>
        <w:tc>
          <w:tcPr>
            <w:tcW w:w="2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obligations</w:t>
            </w:r>
          </w:p>
        </w:tc>
        <w:tc>
          <w:tcPr>
            <w:tcW w:w="2820" w:type="dxa"/>
            <w:vAlign w:val="bottom"/>
          </w:tcPr>
          <w:p>
            <w:pPr>
              <w:spacing w:after="0"/>
              <w:rPr>
                <w:sz w:val="18"/>
                <w:szCs w:val="18"/>
                <w:color w:val="auto"/>
              </w:rPr>
            </w:pPr>
          </w:p>
        </w:tc>
        <w:tc>
          <w:tcPr>
            <w:tcW w:w="3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1,535,230</w:t>
            </w:r>
          </w:p>
        </w:tc>
        <w:tc>
          <w:tcPr>
            <w:tcW w:w="120" w:type="dxa"/>
            <w:vAlign w:val="bottom"/>
          </w:tcPr>
          <w:p>
            <w:pPr>
              <w:spacing w:after="0"/>
              <w:rPr>
                <w:sz w:val="18"/>
                <w:szCs w:val="18"/>
                <w:color w:val="auto"/>
              </w:rPr>
            </w:pPr>
          </w:p>
        </w:tc>
        <w:tc>
          <w:tcPr>
            <w:tcW w:w="380" w:type="dxa"/>
            <w:vAlign w:val="bottom"/>
            <w:gridSpan w:val="2"/>
          </w:tcPr>
          <w:p>
            <w:pPr>
              <w:jc w:val="right"/>
              <w:ind w:right="23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Supplemental balance sheet information related to leases are as follows:</w:t>
            </w: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2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2"/>
              </w:rPr>
              <w:t>2.30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ind w:left="580"/>
              <w:spacing w:after="0"/>
              <w:rPr>
                <w:sz w:val="20"/>
                <w:szCs w:val="20"/>
                <w:color w:val="auto"/>
              </w:rPr>
            </w:pPr>
            <w:r>
              <w:rPr>
                <w:rFonts w:ascii="Times New Roman" w:cs="Times New Roman" w:eastAsia="Times New Roman" w:hAnsi="Times New Roman"/>
                <w:sz w:val="16"/>
                <w:szCs w:val="16"/>
                <w:color w:val="auto"/>
              </w:rPr>
              <w:t>7.25%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76"/>
        </w:trPr>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Maturities of lease liabilities, as of December 31, 2022, are as follows:</w:t>
            </w: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1"/>
        </w:trPr>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196"/>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auto"/>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7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Total lease payments</w:t>
            </w:r>
          </w:p>
        </w:tc>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1,225,945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(34,616)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Total lease obligations</w:t>
            </w:r>
          </w:p>
        </w:tc>
        <w:tc>
          <w:tcPr>
            <w:tcW w:w="2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Finance Lease – Failed Sales-Leaseback</w:t>
      </w:r>
    </w:p>
    <w:p>
      <w:pPr>
        <w:spacing w:after="0" w:line="213" w:lineRule="exact"/>
        <w:rPr>
          <w:sz w:val="20"/>
          <w:szCs w:val="20"/>
          <w:color w:val="auto"/>
        </w:rPr>
      </w:pPr>
    </w:p>
    <w:p>
      <w:pPr>
        <w:jc w:val="both"/>
        <w:ind w:firstLine="589"/>
        <w:spacing w:after="0" w:line="263" w:lineRule="auto"/>
        <w:rPr>
          <w:sz w:val="20"/>
          <w:szCs w:val="20"/>
          <w:color w:val="auto"/>
        </w:rPr>
      </w:pPr>
      <w:r>
        <w:rPr>
          <w:rFonts w:ascii="Times New Roman" w:cs="Times New Roman" w:eastAsia="Times New Roman" w:hAnsi="Times New Roman"/>
          <w:sz w:val="16"/>
          <w:szCs w:val="16"/>
          <w:color w:val="auto"/>
        </w:rPr>
        <w:t>In November 2022, the Company entered into a lease agreement with Farnam Capital for its next-generation of robot assets. As per ASC 842-40-25-1, the transaction was considered a failed sales and leaseback and therefore, the lease was accounted for as a financing agreement. In total, the Company received proceeds of $4,455,852 related to robot assets constructed that are held as collateral. The agreement calls for payments through October 31, 2024 of $189,262 and required a security deposit of $378,524. Through December 31, 2022, the Company has made principal repayments totaling $378,524. Furthermore, the Company paid $544,422 in interim payments during the asset construction process which was recorded as interest expense. The outstanding lease liability at December 31, 2022 was $4,077,328. The Company has the option to purchase the assets at the end of the lease for 40% of the original equipment cost.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Future principal payments as of December 31, 2022 were as follows:</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1"/>
        </w:trPr>
        <w:tc>
          <w:tcPr>
            <w:tcW w:w="5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21"/>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196"/>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4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2,214,348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2024</w:t>
            </w:r>
          </w:p>
        </w:tc>
        <w:tc>
          <w:tcPr>
            <w:tcW w:w="4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1,862,980</w:t>
            </w:r>
          </w:p>
        </w:tc>
        <w:tc>
          <w:tcPr>
            <w:tcW w:w="100" w:type="dxa"/>
            <w:vAlign w:val="bottom"/>
            <w:tcBorders>
              <w:bottom w:val="single" w:sz="8" w:color="CCEEFF"/>
            </w:tcBorders>
          </w:tcPr>
          <w:p>
            <w:pPr>
              <w:spacing w:after="0"/>
              <w:rPr>
                <w:sz w:val="18"/>
                <w:szCs w:val="18"/>
                <w:color w:val="auto"/>
              </w:rPr>
            </w:pPr>
          </w:p>
        </w:tc>
      </w:tr>
      <w:tr>
        <w:trPr>
          <w:trHeight w:val="225"/>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47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4,077,328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0"/>
        </w:trPr>
        <w:tc>
          <w:tcPr>
            <w:tcW w:w="52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3"/>
          </w:tcPr>
          <w:p>
            <w:pPr>
              <w:jc w:val="right"/>
              <w:ind w:right="4338"/>
              <w:spacing w:after="0"/>
              <w:rPr>
                <w:sz w:val="20"/>
                <w:szCs w:val="20"/>
                <w:color w:val="auto"/>
              </w:rPr>
            </w:pPr>
            <w:r>
              <w:rPr>
                <w:rFonts w:ascii="Times New Roman" w:cs="Times New Roman" w:eastAsia="Times New Roman" w:hAnsi="Times New Roman"/>
                <w:sz w:val="16"/>
                <w:szCs w:val="16"/>
                <w:color w:val="auto"/>
              </w:rPr>
              <w:t>F-24</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5" w:right="339" w:bottom="1440" w:gutter="0" w:footer="0" w:header="0"/>
        </w:sectPr>
      </w:pPr>
    </w:p>
    <w:bookmarkStart w:id="155" w:name="page156"/>
    <w:bookmarkEnd w:id="155"/>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213"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On December 31, 2021, the company entered into a strategic supply agreement with a manufacturer of component parts used for the Company’s robot assets. The agreement calls for a minimum of $2.3 million in purchases over a two-year period ending December 2023. At the end of the two-year period, the vendor may invoice the Company for any shortfall in orders.</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has minimum spend agreements related to simulation software and storage services. The purchase commitments extend for a period of two to three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years.</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213"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The Company may be subject to pending legal proceedings and regulatory actions in the ordinary course of business. The results of such proceedings cannot be predicted with certainty, but the Company does not anticipate that the final outcome, if any, arising out of any such matters will have a material adverse effect on its business, financial condition or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SUBSEQUENT EVENTS</w:t>
      </w:r>
    </w:p>
    <w:p>
      <w:pPr>
        <w:spacing w:after="0" w:line="213"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Management has evaluated subsequent events through May 19, 2023, the date the financial statements were available to be issued. Based on this evaluation, no additional material events were identified which require adjustment or disclosure in these financial statements.</w:t>
      </w:r>
    </w:p>
    <w:p>
      <w:pPr>
        <w:spacing w:after="0" w:line="138" w:lineRule="exact"/>
        <w:rPr>
          <w:sz w:val="20"/>
          <w:szCs w:val="20"/>
          <w:color w:val="auto"/>
        </w:rPr>
      </w:pPr>
    </w:p>
    <w:p>
      <w:pPr>
        <w:jc w:val="both"/>
        <w:ind w:firstLine="589"/>
        <w:spacing w:after="0" w:line="269" w:lineRule="auto"/>
        <w:rPr>
          <w:sz w:val="20"/>
          <w:szCs w:val="20"/>
          <w:color w:val="auto"/>
        </w:rPr>
      </w:pPr>
      <w:r>
        <w:rPr>
          <w:rFonts w:ascii="Times New Roman" w:cs="Times New Roman" w:eastAsia="Times New Roman" w:hAnsi="Times New Roman"/>
          <w:sz w:val="16"/>
          <w:szCs w:val="16"/>
          <w:color w:val="auto"/>
        </w:rPr>
        <w:t>In April 2023, the Company received bridge financing totaling $3,000,000 in principal, due in six months from the note date. The bridge financing bear interest at 10% per annum and are payable six months from the date of the bridge financing, subject to conversion. Upon the Company’s planned reverse merger (“PIPE Offering”), the note will convert into shares of common stock at a conversion price equal to 80% of the price per the PIPE offering. Th note is secured by the assets of the Company, and subordinated to the Company’s Silicon Valley Bank loan.</w:t>
      </w:r>
    </w:p>
    <w:p>
      <w:pPr>
        <w:spacing w:after="0" w:line="157" w:lineRule="exact"/>
        <w:rPr>
          <w:sz w:val="20"/>
          <w:szCs w:val="20"/>
          <w:color w:val="auto"/>
        </w:rPr>
      </w:pPr>
    </w:p>
    <w:p>
      <w:pPr>
        <w:jc w:val="both"/>
        <w:ind w:firstLine="589"/>
        <w:spacing w:after="0" w:line="294" w:lineRule="auto"/>
        <w:rPr>
          <w:sz w:val="20"/>
          <w:szCs w:val="20"/>
          <w:color w:val="auto"/>
        </w:rPr>
      </w:pPr>
      <w:r>
        <w:rPr>
          <w:rFonts w:ascii="Times New Roman" w:cs="Times New Roman" w:eastAsia="Times New Roman" w:hAnsi="Times New Roman"/>
          <w:sz w:val="16"/>
          <w:szCs w:val="16"/>
          <w:color w:val="auto"/>
        </w:rPr>
        <w:t>In connection with the bridge financing, the Company granted the lender warrants to purchase common stock equal to 50% of the number of shares of common stock into which the loan is convertible into.</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Through the issuance date, the Company has received proceeds from SAFEs totaling $2,666,953 with similar terms to the SAFEs in Note 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8"/>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gridSpan w:val="3"/>
          </w:tcPr>
          <w:p>
            <w:pPr>
              <w:jc w:val="center"/>
              <w:ind w:right="2718"/>
              <w:spacing w:after="0"/>
              <w:rPr>
                <w:sz w:val="20"/>
                <w:szCs w:val="20"/>
                <w:color w:val="auto"/>
              </w:rPr>
            </w:pPr>
            <w:r>
              <w:rPr>
                <w:rFonts w:ascii="Times New Roman" w:cs="Times New Roman" w:eastAsia="Times New Roman" w:hAnsi="Times New Roman"/>
                <w:sz w:val="16"/>
                <w:szCs w:val="16"/>
                <w:b w:val="1"/>
                <w:bCs w:val="1"/>
                <w:color w:val="auto"/>
              </w:rPr>
              <w:t>Serve Robotics Inc. and Patricia Acquisition Corp.</w:t>
            </w:r>
          </w:p>
        </w:tc>
        <w:tc>
          <w:tcPr>
            <w:tcW w:w="780" w:type="dxa"/>
            <w:vAlign w:val="bottom"/>
          </w:tcPr>
          <w:p>
            <w:pPr>
              <w:spacing w:after="0"/>
              <w:rPr>
                <w:sz w:val="18"/>
                <w:szCs w:val="18"/>
                <w:color w:val="auto"/>
              </w:rPr>
            </w:pPr>
          </w:p>
        </w:tc>
      </w:tr>
      <w:tr>
        <w:trPr>
          <w:trHeight w:val="396"/>
        </w:trPr>
        <w:tc>
          <w:tcPr>
            <w:tcW w:w="34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56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47"/>
        </w:trPr>
        <w:tc>
          <w:tcPr>
            <w:tcW w:w="10460" w:type="dxa"/>
            <w:vAlign w:val="bottom"/>
            <w:gridSpan w:val="5"/>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0000EE"/>
              </w:rPr>
              <w:t>Unaudited Pro Forma Combined Financial Information</w:t>
            </w:r>
          </w:p>
        </w:tc>
        <w:tc>
          <w:tcPr>
            <w:tcW w:w="780" w:type="dxa"/>
            <w:vAlign w:val="bottom"/>
            <w:shd w:val="clear" w:color="auto" w:fill="CCEEFF"/>
          </w:tcPr>
          <w:p>
            <w:pPr>
              <w:ind w:left="240"/>
              <w:spacing w:after="0" w:line="127" w:lineRule="exact"/>
              <w:rPr>
                <w:sz w:val="20"/>
                <w:szCs w:val="20"/>
                <w:color w:val="auto"/>
              </w:rPr>
            </w:pPr>
            <w:r>
              <w:rPr>
                <w:rFonts w:ascii="Times New Roman" w:cs="Times New Roman" w:eastAsia="Times New Roman" w:hAnsi="Times New Roman"/>
                <w:sz w:val="14"/>
                <w:szCs w:val="14"/>
                <w:color w:val="auto"/>
              </w:rPr>
              <w:t>F-27</w:t>
            </w:r>
          </w:p>
        </w:tc>
      </w:tr>
      <w:tr>
        <w:trPr>
          <w:trHeight w:val="29"/>
        </w:trPr>
        <w:tc>
          <w:tcPr>
            <w:tcW w:w="3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r>
      <w:tr>
        <w:trPr>
          <w:trHeight w:val="168"/>
        </w:trPr>
        <w:tc>
          <w:tcPr>
            <w:tcW w:w="4780" w:type="dxa"/>
            <w:vAlign w:val="bottom"/>
            <w:tcBorders>
              <w:bottom w:val="single" w:sz="8" w:color="0000EE"/>
            </w:tcBorders>
            <w:gridSpan w:val="4"/>
          </w:tcPr>
          <w:p>
            <w:pPr>
              <w:spacing w:after="0" w:line="160" w:lineRule="exact"/>
              <w:rPr>
                <w:sz w:val="20"/>
                <w:szCs w:val="20"/>
                <w:color w:val="auto"/>
              </w:rPr>
            </w:pPr>
            <w:r>
              <w:rPr>
                <w:rFonts w:ascii="Times New Roman" w:cs="Times New Roman" w:eastAsia="Times New Roman" w:hAnsi="Times New Roman"/>
                <w:sz w:val="16"/>
                <w:szCs w:val="16"/>
                <w:color w:val="0000EE"/>
              </w:rPr>
              <w:t>Statement of Operations for the Nine Months Ended September 30, 2023</w:t>
            </w:r>
          </w:p>
        </w:tc>
        <w:tc>
          <w:tcPr>
            <w:tcW w:w="5680" w:type="dxa"/>
            <w:vAlign w:val="bottom"/>
          </w:tcPr>
          <w:p>
            <w:pPr>
              <w:spacing w:after="0"/>
              <w:rPr>
                <w:sz w:val="14"/>
                <w:szCs w:val="14"/>
                <w:color w:val="auto"/>
              </w:rPr>
            </w:pPr>
          </w:p>
        </w:tc>
        <w:tc>
          <w:tcPr>
            <w:tcW w:w="78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F-28</w:t>
            </w:r>
          </w:p>
        </w:tc>
      </w:tr>
      <w:tr>
        <w:trPr>
          <w:trHeight w:val="185"/>
        </w:trPr>
        <w:tc>
          <w:tcPr>
            <w:tcW w:w="1046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Statement of Operations for the Year Ended December 31, 2022</w:t>
            </w:r>
          </w:p>
        </w:tc>
        <w:tc>
          <w:tcPr>
            <w:tcW w:w="78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6"/>
                <w:szCs w:val="16"/>
                <w:color w:val="auto"/>
              </w:rPr>
              <w:t>F-29</w:t>
            </w:r>
          </w:p>
        </w:tc>
      </w:tr>
      <w:tr>
        <w:trPr>
          <w:trHeight w:val="160"/>
        </w:trPr>
        <w:tc>
          <w:tcPr>
            <w:tcW w:w="4180" w:type="dxa"/>
            <w:vAlign w:val="bottom"/>
            <w:tcBorders>
              <w:top w:val="single" w:sz="8" w:color="0000EE"/>
            </w:tcBorders>
            <w:gridSpan w:val="3"/>
          </w:tcPr>
          <w:p>
            <w:pPr>
              <w:spacing w:after="0" w:line="160" w:lineRule="exact"/>
              <w:rPr>
                <w:sz w:val="20"/>
                <w:szCs w:val="20"/>
                <w:color w:val="auto"/>
              </w:rPr>
            </w:pPr>
            <w:r>
              <w:rPr>
                <w:rFonts w:ascii="Times New Roman" w:cs="Times New Roman" w:eastAsia="Times New Roman" w:hAnsi="Times New Roman"/>
                <w:sz w:val="16"/>
                <w:szCs w:val="16"/>
                <w:color w:val="0000EE"/>
              </w:rPr>
              <w:t>Notes to Unaudited Pro Forma Financial Statements</w:t>
            </w:r>
          </w:p>
        </w:tc>
        <w:tc>
          <w:tcPr>
            <w:tcW w:w="6280" w:type="dxa"/>
            <w:vAlign w:val="bottom"/>
            <w:tcBorders>
              <w:top w:val="single" w:sz="8" w:color="CCEEFF"/>
            </w:tcBorders>
            <w:gridSpan w:val="2"/>
          </w:tcPr>
          <w:p>
            <w:pPr>
              <w:spacing w:after="0"/>
              <w:rPr>
                <w:sz w:val="13"/>
                <w:szCs w:val="13"/>
                <w:color w:val="auto"/>
              </w:rPr>
            </w:pPr>
          </w:p>
        </w:tc>
        <w:tc>
          <w:tcPr>
            <w:tcW w:w="780" w:type="dxa"/>
            <w:vAlign w:val="bottom"/>
            <w:tcBorders>
              <w:top w:val="single" w:sz="8" w:color="CCEEFF"/>
            </w:tcBorders>
          </w:tcPr>
          <w:p>
            <w:pPr>
              <w:ind w:left="240"/>
              <w:spacing w:after="0" w:line="160" w:lineRule="exact"/>
              <w:rPr>
                <w:sz w:val="20"/>
                <w:szCs w:val="20"/>
                <w:color w:val="auto"/>
              </w:rPr>
            </w:pPr>
            <w:r>
              <w:rPr>
                <w:rFonts w:ascii="Times New Roman" w:cs="Times New Roman" w:eastAsia="Times New Roman" w:hAnsi="Times New Roman"/>
                <w:sz w:val="16"/>
                <w:szCs w:val="16"/>
                <w:color w:val="auto"/>
              </w:rPr>
              <w:t>F-30</w:t>
            </w:r>
          </w:p>
        </w:tc>
      </w:tr>
      <w:tr>
        <w:trPr>
          <w:trHeight w:val="610"/>
        </w:trPr>
        <w:tc>
          <w:tcPr>
            <w:tcW w:w="34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jc w:val="center"/>
              <w:ind w:right="3918"/>
              <w:spacing w:after="0"/>
              <w:rPr>
                <w:sz w:val="20"/>
                <w:szCs w:val="20"/>
                <w:color w:val="auto"/>
              </w:rPr>
            </w:pPr>
            <w:r>
              <w:rPr>
                <w:rFonts w:ascii="Times New Roman" w:cs="Times New Roman" w:eastAsia="Times New Roman" w:hAnsi="Times New Roman"/>
                <w:sz w:val="16"/>
                <w:szCs w:val="16"/>
                <w:color w:val="auto"/>
              </w:rPr>
              <w:t>F-26</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1"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COMBINED FINANCIAL INFORMATION</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We were incorporated as Patricia Acquisition Corp. (“Patricia”) in the State of Delaware on November 9, 2020. Prior to the Merger (as defined below), we were a “shell company” (as defined in Rule 12b-2 under the Securities Exchange Act of 1934, as amended (the “Exchange Act”)).</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July 31, 2023, our board of directors and all of our pre-Merger stockholders approved a restated certificate of incorporation, which was effective upon its filing with the Secretary of State of the State of Delaware on July 31, 2023, and through which we changed our name to “Serve Robotics Inc.” On July 31, 2023, our board of directors also adopted restated bylaws.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July 31, 2023, our wholly-owned subsidiary, Serve Acquisition Corp., a corporation formed in the State of Delaware on July 10, 2023 (“Acquisition Sub”), merged with and into Serve Robotics Inc., a privately held Delaware corporation (“Serve”). Pursuant to this transaction (the “Merger”), Serve was the surviving corporation and became our wholly owned subsidiary, and all of the outstanding stock of Serve was converted into shares of our common stock. All of Serve’s outstanding warrants, options and stock appreciation rights were assumed by us. Following the consummation of the Merger, Serve changed its name to “Serve Operating Co.”</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As a result of the Merger, we acquired the business of Serve and will continue the existing business operations of Serve as a public reporting company under the name Serve Robotics Inc.</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The Merger is being accounted for as a reverse-merger and recapitalization. Serve is the acquirer for financial reporting purposes, and Patricia is the acquired company under the acquisition method of accounting in accordance with FASB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Consequently, the assets, liabilities and operations that will be reflected in the historical financial statements prior to the Merger will be those of Serve and will be recorded at the historical cost basis of Serve, and the consolidated financial statements after completion of the Merger will include the assets, liabilities and results of operations of Serve up to the day prior to the closing of the Merger and the assets, liabilities and results of operations of the combined company from and after the closing date of the Merger. The unaudited pro forma combined financial information is based on individual historical financial statements of Serve and Patricia prepared under U.S. GAAP and is adjusted to give effect to the Merger Agreement.</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unaudited condensed consolidated balance sheet as of September 30, 2023 already gives effect to the Merger that occurred on July 31, 2023, including the assets and liabilities of Serve and Patricia and the post-merger capitalization of the combined companies. Therefore, a separate pro forma combined balance sheet as of September 30, 2023 is not presented herein. The unaudited pro forma combined statements of operations for the nine months ended September 30, 2023 give effect to the Merger as if it had been consummated on January 1, 2023 and include all necessary transaction accounting adjustments, including those that are not expected to have a continuing impact. The unaudited pro forma combined statements of operations for the year ended December 31, 2022 give effect to the Merger as if it had been consummated on January 1, 2022 and include all necessary transaction accounting adjustments, including those that are not expected to have a continuing impact. The notes to the unaudited pro forma combined financial information describe the pro forma amounts and adjustments presented below.</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unaudited pro forma combined financial information does not purport to represent what the combined company’s results of operations and comprehensive loss or financial position would actually have been had the Merger occurred on the dates described above or to project the combined company’s results of operations or financial position for any future date or period.</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unaudited pro forma combined financial information should be read together with (1) Serve’s audited consolidated financial statements as of and for the year ended December 31, 2022, (2) Patricia’s audited financial statements as of and for the year ended December 31, 2022, (3) Serve’s unaudited consolidated financial statements as of and for the nine months ended September 30, 2023, and (4) Patricia’s unaudited consolidated financial statements as of and for the six months ended June 30, 2023.</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6"/>
          <w:szCs w:val="16"/>
          <w:b w:val="1"/>
          <w:bCs w:val="1"/>
          <w:color w:val="auto"/>
        </w:rPr>
        <w:t>Serve Robotics, Inc. and Patricia Acquisition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Combined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Serve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Robotics</w:t>
            </w: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Patricia</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164,826</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80" w:type="dxa"/>
            <w:vAlign w:val="bottom"/>
          </w:tcPr>
          <w:p>
            <w:pPr>
              <w:spacing w:after="0"/>
              <w:rPr>
                <w:sz w:val="18"/>
                <w:szCs w:val="18"/>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1,331,165</w:t>
            </w:r>
          </w:p>
        </w:tc>
        <w:tc>
          <w:tcPr>
            <w:tcW w:w="180" w:type="dxa"/>
            <w:vAlign w:val="bottom"/>
          </w:tcPr>
          <w:p>
            <w:pPr>
              <w:spacing w:after="0"/>
              <w:rPr>
                <w:sz w:val="18"/>
                <w:szCs w:val="18"/>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(1,166,339)</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3,414,949</w:t>
            </w:r>
          </w:p>
        </w:tc>
        <w:tc>
          <w:tcPr>
            <w:tcW w:w="18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29,554</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1,672,403</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1,672,403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7,171,446</w:t>
            </w:r>
          </w:p>
        </w:tc>
        <w:tc>
          <w:tcPr>
            <w:tcW w:w="180" w:type="dxa"/>
            <w:vAlign w:val="bottom"/>
          </w:tcPr>
          <w:p>
            <w:pPr>
              <w:spacing w:after="0"/>
              <w:rPr>
                <w:sz w:val="17"/>
                <w:szCs w:val="17"/>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481,511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481,511</w:t>
            </w:r>
          </w:p>
        </w:tc>
        <w:tc>
          <w:tcPr>
            <w:tcW w:w="0" w:type="dxa"/>
            <w:vAlign w:val="bottom"/>
          </w:tcPr>
          <w:p>
            <w:pPr>
              <w:spacing w:after="0"/>
              <w:rPr>
                <w:sz w:val="1"/>
                <w:szCs w:val="1"/>
                <w:color w:val="auto"/>
              </w:rPr>
            </w:pPr>
          </w:p>
        </w:tc>
      </w:tr>
      <w:tr>
        <w:trPr>
          <w:trHeight w:val="181"/>
        </w:trPr>
        <w:tc>
          <w:tcPr>
            <w:tcW w:w="4620" w:type="dxa"/>
            <w:vAlign w:val="bottom"/>
            <w:tcBorders>
              <w:top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12,740,309</w:t>
            </w:r>
          </w:p>
        </w:tc>
        <w:tc>
          <w:tcPr>
            <w:tcW w:w="2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29,554</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12,769,863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Pr>
          <w:p>
            <w:pPr>
              <w:spacing w:after="0"/>
              <w:rPr>
                <w:sz w:val="17"/>
                <w:szCs w:val="17"/>
                <w:color w:val="auto"/>
              </w:rPr>
            </w:pPr>
          </w:p>
        </w:tc>
        <w:tc>
          <w:tcPr>
            <w:tcW w:w="122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(13,906,648)</w:t>
            </w:r>
          </w:p>
        </w:tc>
        <w:tc>
          <w:tcPr>
            <w:tcW w:w="18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(29,554)</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(13,936,202)</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(2,021,996)</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(2,021,996)</w:t>
            </w:r>
          </w:p>
        </w:tc>
        <w:tc>
          <w:tcPr>
            <w:tcW w:w="0" w:type="dxa"/>
            <w:vAlign w:val="bottom"/>
          </w:tcPr>
          <w:p>
            <w:pPr>
              <w:spacing w:after="0"/>
              <w:rPr>
                <w:sz w:val="1"/>
                <w:szCs w:val="1"/>
                <w:color w:val="auto"/>
              </w:rPr>
            </w:pPr>
          </w:p>
        </w:tc>
      </w:tr>
      <w:tr>
        <w:trPr>
          <w:trHeight w:val="196"/>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80" w:type="dxa"/>
            <w:vAlign w:val="bottom"/>
          </w:tcPr>
          <w:p>
            <w:pPr>
              <w:spacing w:after="0"/>
              <w:rPr>
                <w:sz w:val="17"/>
                <w:szCs w:val="17"/>
                <w:color w:val="auto"/>
              </w:rPr>
            </w:pPr>
          </w:p>
        </w:tc>
        <w:tc>
          <w:tcPr>
            <w:tcW w:w="122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(149,000)</w:t>
            </w:r>
          </w:p>
        </w:tc>
        <w:tc>
          <w:tcPr>
            <w:tcW w:w="180" w:type="dxa"/>
            <w:vAlign w:val="bottom"/>
          </w:tcPr>
          <w:p>
            <w:pPr>
              <w:spacing w:after="0"/>
              <w:rPr>
                <w:sz w:val="17"/>
                <w:szCs w:val="17"/>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149,000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simple agreements for future equity</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(1,672,706)</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1,672,706</w:t>
            </w: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620" w:type="dxa"/>
            <w:vAlign w:val="bottom"/>
            <w:tcBorders>
              <w:top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other income (expense), net</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(3,843,702)</w:t>
            </w:r>
          </w:p>
        </w:tc>
        <w:tc>
          <w:tcPr>
            <w:tcW w:w="2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1,821,706</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(2,021,996)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80" w:type="dxa"/>
            <w:vAlign w:val="bottom"/>
          </w:tcPr>
          <w:p>
            <w:pPr>
              <w:spacing w:after="0"/>
              <w:rPr>
                <w:sz w:val="18"/>
                <w:szCs w:val="18"/>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5"/>
        </w:trPr>
        <w:tc>
          <w:tcPr>
            <w:tcW w:w="46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(17,750,350</w:t>
            </w:r>
          </w:p>
        </w:tc>
        <w:tc>
          <w:tcPr>
            <w:tcW w:w="2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(29,554</w:t>
            </w:r>
          </w:p>
        </w:tc>
        <w:tc>
          <w:tcPr>
            <w:tcW w:w="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1,821,706</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(15,958,198</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180" w:type="dxa"/>
            <w:vAlign w:val="bottom"/>
          </w:tcPr>
          <w:p>
            <w:pPr>
              <w:spacing w:after="0"/>
              <w:rPr>
                <w:sz w:val="24"/>
                <w:szCs w:val="24"/>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10,674,991</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24,855,533</w:t>
            </w:r>
          </w:p>
        </w:tc>
        <w:tc>
          <w:tcPr>
            <w:tcW w:w="0" w:type="dxa"/>
            <w:vAlign w:val="bottom"/>
          </w:tcPr>
          <w:p>
            <w:pPr>
              <w:spacing w:after="0"/>
              <w:rPr>
                <w:sz w:val="1"/>
                <w:szCs w:val="1"/>
                <w:color w:val="auto"/>
              </w:rPr>
            </w:pPr>
          </w:p>
        </w:tc>
      </w:tr>
      <w:tr>
        <w:trPr>
          <w:trHeight w:val="198"/>
        </w:trPr>
        <w:tc>
          <w:tcPr>
            <w:tcW w:w="4620" w:type="dxa"/>
            <w:vAlign w:val="bottom"/>
            <w:tcBorders>
              <w:top w:val="single" w:sz="8" w:color="CCEEFF"/>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Net loss per common share - basic and diluted</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60" w:type="dxa"/>
            <w:vAlign w:val="bottom"/>
            <w:tcBorders>
              <w:top w:val="single" w:sz="8" w:color="CCEEFF"/>
              <w:bottom w:val="single" w:sz="8" w:color="CCEEFF"/>
            </w:tcBorders>
            <w:shd w:val="clear" w:color="auto" w:fill="CCEEFF"/>
          </w:tcPr>
          <w:p>
            <w:pPr>
              <w:jc w:val="right"/>
              <w:ind w:right="118"/>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Borders>
              <w:top w:val="single" w:sz="8" w:color="CCEEFF"/>
              <w:bottom w:val="single" w:sz="8" w:color="CCEEFF"/>
            </w:tcBorders>
            <w:shd w:val="clear" w:color="auto" w:fill="CCEEFF"/>
          </w:tcPr>
          <w:p>
            <w:pPr>
              <w:jc w:val="right"/>
              <w:ind w:right="78"/>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top w:val="single" w:sz="8" w:color="CCEEFF"/>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4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58"/>
              <w:spacing w:after="0"/>
              <w:rPr>
                <w:sz w:val="20"/>
                <w:szCs w:val="20"/>
                <w:color w:val="auto"/>
              </w:rPr>
            </w:pPr>
            <w:r>
              <w:rPr>
                <w:rFonts w:ascii="Times New Roman" w:cs="Times New Roman" w:eastAsia="Times New Roman" w:hAnsi="Times New Roman"/>
                <w:sz w:val="16"/>
                <w:szCs w:val="16"/>
                <w:color w:val="auto"/>
              </w:rPr>
              <w:t>F-28</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1"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6"/>
          <w:szCs w:val="16"/>
          <w:b w:val="1"/>
          <w:bCs w:val="1"/>
          <w:color w:val="auto"/>
        </w:rPr>
        <w:t>Serve Robotics, Inc. and Patricia Acquisition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Combined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Serve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Robotics</w:t>
            </w: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Patricia</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80" w:type="dxa"/>
            <w:vAlign w:val="bottom"/>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107,819</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Cost of net revenues</w:t>
            </w:r>
          </w:p>
        </w:tc>
        <w:tc>
          <w:tcPr>
            <w:tcW w:w="180" w:type="dxa"/>
            <w:vAlign w:val="bottom"/>
          </w:tcPr>
          <w:p>
            <w:pPr>
              <w:spacing w:after="0"/>
              <w:rPr>
                <w:sz w:val="18"/>
                <w:szCs w:val="18"/>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1,148,426</w:t>
            </w:r>
          </w:p>
        </w:tc>
        <w:tc>
          <w:tcPr>
            <w:tcW w:w="180" w:type="dxa"/>
            <w:vAlign w:val="bottom"/>
          </w:tcPr>
          <w:p>
            <w:pPr>
              <w:spacing w:after="0"/>
              <w:rPr>
                <w:sz w:val="18"/>
                <w:szCs w:val="18"/>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(1,040,607)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3,786,124</w:t>
            </w:r>
          </w:p>
        </w:tc>
        <w:tc>
          <w:tcPr>
            <w:tcW w:w="18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51,354</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3,837,478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2,035,063</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13,565,765</w:t>
            </w:r>
          </w:p>
        </w:tc>
        <w:tc>
          <w:tcPr>
            <w:tcW w:w="180" w:type="dxa"/>
            <w:vAlign w:val="bottom"/>
          </w:tcPr>
          <w:p>
            <w:pPr>
              <w:spacing w:after="0"/>
              <w:rPr>
                <w:sz w:val="17"/>
                <w:szCs w:val="17"/>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13,565,765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525,494</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620" w:type="dxa"/>
            <w:vAlign w:val="bottom"/>
            <w:tcBorders>
              <w:top w:val="single" w:sz="8" w:color="CCEEFF"/>
            </w:tcBorders>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19,912,446</w:t>
            </w:r>
          </w:p>
        </w:tc>
        <w:tc>
          <w:tcPr>
            <w:tcW w:w="2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51,354</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19,963,800</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Pr>
          <w:p>
            <w:pPr>
              <w:spacing w:after="0"/>
              <w:rPr>
                <w:sz w:val="17"/>
                <w:szCs w:val="17"/>
                <w:color w:val="auto"/>
              </w:rPr>
            </w:pPr>
          </w:p>
        </w:tc>
        <w:tc>
          <w:tcPr>
            <w:tcW w:w="122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(20,953,053)</w:t>
            </w:r>
          </w:p>
        </w:tc>
        <w:tc>
          <w:tcPr>
            <w:tcW w:w="18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(51,354)</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(21,004,407)</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(636,330)</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(636,330)</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simple agreements for future equity</w:t>
            </w:r>
          </w:p>
        </w:tc>
        <w:tc>
          <w:tcPr>
            <w:tcW w:w="180" w:type="dxa"/>
            <w:vAlign w:val="bottom"/>
          </w:tcPr>
          <w:p>
            <w:pPr>
              <w:spacing w:after="0"/>
              <w:rPr>
                <w:sz w:val="18"/>
                <w:szCs w:val="18"/>
                <w:color w:val="auto"/>
              </w:rPr>
            </w:pPr>
          </w:p>
        </w:tc>
        <w:tc>
          <w:tcPr>
            <w:tcW w:w="122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(265,744)</w:t>
            </w:r>
          </w:p>
        </w:tc>
        <w:tc>
          <w:tcPr>
            <w:tcW w:w="180" w:type="dxa"/>
            <w:vAlign w:val="bottom"/>
          </w:tcPr>
          <w:p>
            <w:pPr>
              <w:spacing w:after="0"/>
              <w:rPr>
                <w:sz w:val="18"/>
                <w:szCs w:val="18"/>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265,744</w:t>
            </w:r>
          </w:p>
        </w:tc>
        <w:tc>
          <w:tcPr>
            <w:tcW w:w="1480" w:type="dxa"/>
            <w:vAlign w:val="bottom"/>
            <w:gridSpan w:val="3"/>
          </w:tcPr>
          <w:p>
            <w:pPr>
              <w:jc w:val="right"/>
              <w:ind w:right="678"/>
              <w:spacing w:after="0"/>
              <w:rPr>
                <w:sz w:val="20"/>
                <w:szCs w:val="20"/>
                <w:color w:val="auto"/>
              </w:rPr>
            </w:pPr>
            <w:r>
              <w:rPr>
                <w:rFonts w:ascii="Times New Roman" w:cs="Times New Roman" w:eastAsia="Times New Roman" w:hAnsi="Times New Roman"/>
                <w:sz w:val="16"/>
                <w:szCs w:val="16"/>
                <w:color w:val="auto"/>
              </w:rPr>
              <w:t>(h)</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(902,074)</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265,744</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tcPr>
          <w:p>
            <w:pPr>
              <w:spacing w:after="0"/>
              <w:rPr>
                <w:sz w:val="21"/>
                <w:szCs w:val="21"/>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(21,855,127</w:t>
            </w:r>
          </w:p>
        </w:tc>
        <w:tc>
          <w:tcPr>
            <w:tcW w:w="260" w:type="dxa"/>
            <w:vAlign w:val="bottom"/>
            <w:vMerge w:val="continue"/>
          </w:tcPr>
          <w:p>
            <w:pPr>
              <w:spacing w:after="0"/>
              <w:rPr>
                <w:sz w:val="21"/>
                <w:szCs w:val="21"/>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(51,354</w:t>
            </w:r>
          </w:p>
        </w:tc>
        <w:tc>
          <w:tcPr>
            <w:tcW w:w="22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265,744</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(21,640,737</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6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diluted</w:t>
            </w:r>
          </w:p>
        </w:tc>
        <w:tc>
          <w:tcPr>
            <w:tcW w:w="180" w:type="dxa"/>
            <w:vAlign w:val="bottom"/>
          </w:tcPr>
          <w:p>
            <w:pPr>
              <w:spacing w:after="0"/>
              <w:rPr>
                <w:sz w:val="24"/>
                <w:szCs w:val="24"/>
                <w:color w:val="auto"/>
              </w:rPr>
            </w:pPr>
          </w:p>
        </w:tc>
        <w:tc>
          <w:tcPr>
            <w:tcW w:w="122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8,583,409</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right"/>
              <w:ind w:right="698"/>
              <w:spacing w:after="0"/>
              <w:rPr>
                <w:sz w:val="20"/>
                <w:szCs w:val="20"/>
                <w:color w:val="auto"/>
              </w:rPr>
            </w:pPr>
            <w:r>
              <w:rPr>
                <w:rFonts w:ascii="Times New Roman" w:cs="Times New Roman" w:eastAsia="Times New Roman" w:hAnsi="Times New Roman"/>
                <w:sz w:val="16"/>
                <w:szCs w:val="16"/>
                <w:color w:val="auto"/>
              </w:rPr>
              <w:t>(i)</w:t>
            </w:r>
          </w:p>
        </w:tc>
        <w:tc>
          <w:tcPr>
            <w:tcW w:w="10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24,716,866</w:t>
            </w:r>
          </w:p>
        </w:tc>
        <w:tc>
          <w:tcPr>
            <w:tcW w:w="0" w:type="dxa"/>
            <w:vAlign w:val="bottom"/>
          </w:tcPr>
          <w:p>
            <w:pPr>
              <w:spacing w:after="0"/>
              <w:rPr>
                <w:sz w:val="1"/>
                <w:szCs w:val="1"/>
                <w:color w:val="auto"/>
              </w:rPr>
            </w:pPr>
          </w:p>
        </w:tc>
      </w:tr>
      <w:tr>
        <w:trPr>
          <w:trHeight w:val="198"/>
        </w:trPr>
        <w:tc>
          <w:tcPr>
            <w:tcW w:w="4620" w:type="dxa"/>
            <w:vAlign w:val="bottom"/>
            <w:tcBorders>
              <w:top w:val="single" w:sz="8" w:color="CCEEFF"/>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Net loss per common share - basic and diluted</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60" w:type="dxa"/>
            <w:vAlign w:val="bottom"/>
            <w:tcBorders>
              <w:top w:val="single" w:sz="8" w:color="CCEEFF"/>
              <w:bottom w:val="single" w:sz="8" w:color="CCEEFF"/>
            </w:tcBorders>
            <w:shd w:val="clear" w:color="auto" w:fill="CCEEFF"/>
          </w:tcPr>
          <w:p>
            <w:pPr>
              <w:jc w:val="right"/>
              <w:ind w:right="118"/>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Borders>
              <w:top w:val="single" w:sz="8" w:color="CCEEFF"/>
              <w:bottom w:val="single" w:sz="8" w:color="CCEEFF"/>
            </w:tcBorders>
            <w:shd w:val="clear" w:color="auto" w:fill="CCEEFF"/>
          </w:tcPr>
          <w:p>
            <w:pPr>
              <w:jc w:val="right"/>
              <w:ind w:right="78"/>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Borders>
              <w:top w:val="single" w:sz="8" w:color="CCEEFF"/>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4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58"/>
              <w:spacing w:after="0"/>
              <w:rPr>
                <w:sz w:val="20"/>
                <w:szCs w:val="20"/>
                <w:color w:val="auto"/>
              </w:rPr>
            </w:pPr>
            <w:r>
              <w:rPr>
                <w:rFonts w:ascii="Times New Roman" w:cs="Times New Roman" w:eastAsia="Times New Roman" w:hAnsi="Times New Roman"/>
                <w:sz w:val="16"/>
                <w:szCs w:val="16"/>
                <w:color w:val="auto"/>
              </w:rPr>
              <w:t>F-29</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1" w:right="339" w:bottom="1440" w:gutter="0" w:footer="0" w:header="0"/>
        </w:sectPr>
      </w:pPr>
    </w:p>
    <w:bookmarkStart w:id="160" w:name="page161"/>
    <w:bookmarkEnd w:id="16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Serve Robotics, Inc. and Patricia Acquisition Corp.</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Unaudited Pro Forma Financial Statements</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Pro Forma Adjustments</w:t>
      </w:r>
    </w:p>
    <w:p>
      <w:pPr>
        <w:spacing w:after="0" w:line="191" w:lineRule="exact"/>
        <w:rPr>
          <w:sz w:val="20"/>
          <w:szCs w:val="20"/>
          <w:color w:val="auto"/>
        </w:rPr>
      </w:pPr>
    </w:p>
    <w:p>
      <w:pPr>
        <w:ind w:left="582" w:hanging="582"/>
        <w:spacing w:after="0" w:line="294" w:lineRule="auto"/>
        <w:tabs>
          <w:tab w:leader="none" w:pos="58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unaudited pro forma combined statements of operations reflect an adjustment to reverse the change in fair value of simple agreements for future equity as if the SAFEs had converted at the beginning of each period, as well as the reversal of the change in the derivative liability pertaining to the Bridge Notes.</w:t>
      </w:r>
    </w:p>
    <w:p>
      <w:pPr>
        <w:spacing w:after="0" w:line="138" w:lineRule="exact"/>
        <w:rPr>
          <w:rFonts w:ascii="Times New Roman" w:cs="Times New Roman" w:eastAsia="Times New Roman" w:hAnsi="Times New Roman"/>
          <w:sz w:val="16"/>
          <w:szCs w:val="16"/>
          <w:color w:val="auto"/>
        </w:rPr>
      </w:pPr>
    </w:p>
    <w:p>
      <w:pPr>
        <w:ind w:left="582" w:hanging="582"/>
        <w:spacing w:after="0" w:line="294" w:lineRule="auto"/>
        <w:tabs>
          <w:tab w:leader="none" w:pos="58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pro forma shares of our common stock outstanding upon the Merger and the Private Placement. Refer below for a reconciliation of the historical and pro forma weighted average shares outstanding used in computing basic and diluted net loss per share:</w:t>
      </w:r>
    </w:p>
    <w:p>
      <w:pPr>
        <w:sectPr>
          <w:pgSz w:w="11900" w:h="16838" w:orient="portrait"/>
          <w:cols w:equalWidth="0" w:num="1">
            <w:col w:w="11242"/>
          </w:cols>
          <w:pgMar w:left="318" w:top="8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 – actual (pre-conversion)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45020" cy="132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5020" cy="132715"/>
                    </a:xfrm>
                    <a:prstGeom prst="rect">
                      <a:avLst/>
                    </a:prstGeom>
                    <a:noFill/>
                  </pic:spPr>
                </pic:pic>
              </a:graphicData>
            </a:graphic>
          </wp:anchor>
        </w:drawing>
      </w:r>
    </w:p>
    <w:p>
      <w:pPr>
        <w:spacing w:after="0" w:line="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Common share conversion ratio per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45020" cy="132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5020" cy="132715"/>
                    </a:xfrm>
                    <a:prstGeom prst="rect">
                      <a:avLst/>
                    </a:prstGeom>
                    <a:noFill/>
                  </pic:spPr>
                </pic:pic>
              </a:graphicData>
            </a:graphic>
          </wp:anchor>
        </w:drawing>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Conversion of preferred into common shares upon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244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5020" cy="124460"/>
                    </a:xfrm>
                    <a:prstGeom prst="rect">
                      <a:avLst/>
                    </a:prstGeom>
                    <a:noFill/>
                  </pic:spPr>
                </pic:pic>
              </a:graphicData>
            </a:graphic>
          </wp:anchor>
        </w:drawing>
      </w:r>
    </w:p>
    <w:p>
      <w:pPr>
        <w:spacing w:after="0" w:line="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Conversion of SAFEs into common shares upon Merger</w:t>
      </w:r>
    </w:p>
    <w:p>
      <w:pPr>
        <w:spacing w:after="0" w:line="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Conversion of bridge notes into common shares upon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5020" cy="1244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5020" cy="124460"/>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Patricia’s public stockholders</w:t>
      </w:r>
    </w:p>
    <w:p>
      <w:pPr>
        <w:spacing w:after="0" w:line="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Common shares issued upon Private Placement</w:t>
      </w:r>
    </w:p>
    <w:p>
      <w:pPr>
        <w:spacing w:after="0" w:line="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 -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5020" cy="163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502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120" w:type="dxa"/>
            <w:vAlign w:val="bottom"/>
          </w:tcPr>
          <w:p>
            <w:pPr>
              <w:spacing w:after="0"/>
              <w:rPr>
                <w:sz w:val="17"/>
                <w:szCs w:val="17"/>
                <w:color w:val="auto"/>
              </w:rPr>
            </w:pPr>
          </w:p>
        </w:tc>
      </w:tr>
      <w:tr>
        <w:trPr>
          <w:trHeight w:val="19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9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1"/>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192"/>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8,577,356</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8,583,409</w:t>
            </w:r>
          </w:p>
        </w:tc>
      </w:tr>
      <w:tr>
        <w:trPr>
          <w:trHeight w:val="217"/>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.80350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.80350</w:t>
            </w:r>
          </w:p>
        </w:tc>
      </w:tr>
      <w:tr>
        <w:trPr>
          <w:trHeight w:val="180"/>
        </w:trPr>
        <w:tc>
          <w:tcPr>
            <w:tcW w:w="11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6,891,905</w:t>
            </w:r>
          </w:p>
        </w:tc>
        <w:tc>
          <w:tcPr>
            <w:tcW w:w="220" w:type="dxa"/>
            <w:vAlign w:val="bottom"/>
          </w:tcPr>
          <w:p>
            <w:pPr>
              <w:spacing w:after="0"/>
              <w:rPr>
                <w:sz w:val="15"/>
                <w:szCs w:val="15"/>
                <w:color w:val="auto"/>
              </w:rPr>
            </w:pPr>
          </w:p>
        </w:tc>
        <w:tc>
          <w:tcPr>
            <w:tcW w:w="11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6,896,769</w:t>
            </w:r>
          </w:p>
        </w:tc>
      </w:tr>
      <w:tr>
        <w:trPr>
          <w:trHeight w:val="19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7,969,383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7,969,383</w:t>
            </w:r>
          </w:p>
        </w:tc>
      </w:tr>
      <w:tr>
        <w:trPr>
          <w:trHeight w:val="19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4,372,613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4,372,613</w:t>
            </w:r>
          </w:p>
        </w:tc>
      </w:tr>
      <w:tr>
        <w:trPr>
          <w:trHeight w:val="19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937,961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937,961</w:t>
            </w:r>
          </w:p>
        </w:tc>
      </w:tr>
      <w:tr>
        <w:trPr>
          <w:trHeight w:val="209"/>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r>
      <w:tr>
        <w:trPr>
          <w:trHeight w:val="213"/>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3,183,671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3,183,671</w:t>
            </w:r>
          </w:p>
        </w:tc>
      </w:tr>
      <w:tr>
        <w:trPr>
          <w:trHeight w:val="25"/>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25"/>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24,855,533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24,860,397</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7962" w:space="720"/>
            <w:col w:w="2560"/>
          </w:cols>
          <w:pgMar w:left="318" w:top="830" w:right="339" w:bottom="1440" w:gutter="0" w:footer="0" w:header="0"/>
          <w:type w:val="continuous"/>
        </w:sectPr>
      </w:pPr>
    </w:p>
    <w:p>
      <w:pPr>
        <w:ind w:left="2"/>
        <w:spacing w:after="0"/>
        <w:rPr>
          <w:sz w:val="20"/>
          <w:szCs w:val="20"/>
          <w:color w:val="auto"/>
        </w:rPr>
      </w:pPr>
      <w:r>
        <w:rPr>
          <w:rFonts w:ascii="Times New Roman" w:cs="Times New Roman" w:eastAsia="Times New Roman" w:hAnsi="Times New Roman"/>
          <w:sz w:val="16"/>
          <w:szCs w:val="16"/>
          <w:color w:val="auto"/>
        </w:rPr>
        <w:t>Pro forma anti-dilutive items as of September 30, 2023 and December 31, 2022 include stock options and common and preferred stock warrants outstanding.</w:t>
      </w:r>
    </w:p>
    <w:p>
      <w:pPr>
        <w:spacing w:after="0" w:line="200" w:lineRule="exact"/>
        <w:rPr>
          <w:sz w:val="20"/>
          <w:szCs w:val="20"/>
          <w:color w:val="auto"/>
        </w:rPr>
      </w:pPr>
    </w:p>
    <w:p>
      <w:pPr>
        <w:spacing w:after="0" w:line="20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0" w:right="3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00"/>
        </w:trPr>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5"/>
          </w:tcPr>
          <w:p>
            <w:pPr>
              <w:jc w:val="center"/>
              <w:ind w:right="2840"/>
              <w:spacing w:after="0"/>
              <w:rPr>
                <w:sz w:val="20"/>
                <w:szCs w:val="20"/>
                <w:color w:val="auto"/>
              </w:rPr>
            </w:pPr>
            <w:r>
              <w:rPr>
                <w:rFonts w:ascii="Times New Roman" w:cs="Times New Roman" w:eastAsia="Times New Roman" w:hAnsi="Times New Roman"/>
                <w:sz w:val="16"/>
                <w:szCs w:val="16"/>
                <w:b w:val="1"/>
                <w:bCs w:val="1"/>
                <w:color w:val="auto"/>
                <w:w w:val="99"/>
              </w:rPr>
              <w:t>PATRICIA ACQUISITION CORP.</w:t>
            </w:r>
          </w:p>
        </w:tc>
        <w:tc>
          <w:tcPr>
            <w:tcW w:w="1000" w:type="dxa"/>
            <w:vAlign w:val="bottom"/>
          </w:tcPr>
          <w:p>
            <w:pPr>
              <w:spacing w:after="0"/>
              <w:rPr>
                <w:sz w:val="17"/>
                <w:szCs w:val="17"/>
                <w:color w:val="auto"/>
              </w:rPr>
            </w:pPr>
          </w:p>
        </w:tc>
      </w:tr>
      <w:tr>
        <w:trPr>
          <w:trHeight w:val="214"/>
        </w:trPr>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80" w:type="dxa"/>
            <w:vAlign w:val="bottom"/>
            <w:gridSpan w:val="4"/>
          </w:tcPr>
          <w:p>
            <w:pPr>
              <w:jc w:val="center"/>
              <w:ind w:right="3960"/>
              <w:spacing w:after="0"/>
              <w:rPr>
                <w:sz w:val="20"/>
                <w:szCs w:val="20"/>
                <w:color w:val="auto"/>
              </w:rPr>
            </w:pPr>
            <w:r>
              <w:rPr>
                <w:rFonts w:ascii="Times New Roman" w:cs="Times New Roman" w:eastAsia="Times New Roman" w:hAnsi="Times New Roman"/>
                <w:sz w:val="16"/>
                <w:szCs w:val="16"/>
                <w:color w:val="auto"/>
              </w:rPr>
              <w:t>December 31, 2022</w:t>
            </w:r>
          </w:p>
        </w:tc>
        <w:tc>
          <w:tcPr>
            <w:tcW w:w="1000" w:type="dxa"/>
            <w:vAlign w:val="bottom"/>
          </w:tcPr>
          <w:p>
            <w:pPr>
              <w:spacing w:after="0"/>
              <w:rPr>
                <w:sz w:val="18"/>
                <w:szCs w:val="18"/>
                <w:color w:val="auto"/>
              </w:rPr>
            </w:pPr>
          </w:p>
        </w:tc>
      </w:tr>
      <w:tr>
        <w:trPr>
          <w:trHeight w:val="393"/>
        </w:trPr>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0" w:type="dxa"/>
            <w:vAlign w:val="bottom"/>
            <w:gridSpan w:val="5"/>
          </w:tcPr>
          <w:p>
            <w:pPr>
              <w:jc w:val="center"/>
              <w:ind w:right="2840"/>
              <w:spacing w:after="0"/>
              <w:rPr>
                <w:sz w:val="20"/>
                <w:szCs w:val="20"/>
                <w:color w:val="auto"/>
              </w:rPr>
            </w:pPr>
            <w:r>
              <w:rPr>
                <w:rFonts w:ascii="Times New Roman" w:cs="Times New Roman" w:eastAsia="Times New Roman" w:hAnsi="Times New Roman"/>
                <w:sz w:val="16"/>
                <w:szCs w:val="16"/>
                <w:color w:val="auto"/>
              </w:rPr>
              <w:t>INDEX TO FINANCIAL STATEMENTS</w:t>
            </w:r>
          </w:p>
        </w:tc>
        <w:tc>
          <w:tcPr>
            <w:tcW w:w="1000" w:type="dxa"/>
            <w:vAlign w:val="bottom"/>
          </w:tcPr>
          <w:p>
            <w:pPr>
              <w:spacing w:after="0"/>
              <w:rPr>
                <w:sz w:val="24"/>
                <w:szCs w:val="24"/>
                <w:color w:val="auto"/>
              </w:rPr>
            </w:pPr>
          </w:p>
        </w:tc>
      </w:tr>
      <w:tr>
        <w:trPr>
          <w:trHeight w:val="396"/>
        </w:trPr>
        <w:tc>
          <w:tcPr>
            <w:tcW w:w="102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Statement</w:t>
            </w:r>
          </w:p>
        </w:tc>
        <w:tc>
          <w:tcPr>
            <w:tcW w:w="10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6"/>
        </w:trPr>
        <w:tc>
          <w:tcPr>
            <w:tcW w:w="10140" w:type="dxa"/>
            <w:vAlign w:val="bottom"/>
            <w:tcBorders>
              <w:top w:val="single" w:sz="8" w:color="auto"/>
            </w:tcBorders>
            <w:gridSpan w:val="8"/>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Index to Financial Statements</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360"/>
              <w:spacing w:after="0" w:line="160" w:lineRule="exact"/>
              <w:rPr>
                <w:sz w:val="20"/>
                <w:szCs w:val="20"/>
                <w:color w:val="auto"/>
              </w:rPr>
            </w:pPr>
            <w:r>
              <w:rPr>
                <w:rFonts w:ascii="Times New Roman" w:cs="Times New Roman" w:eastAsia="Times New Roman" w:hAnsi="Times New Roman"/>
                <w:sz w:val="16"/>
                <w:szCs w:val="16"/>
                <w:color w:val="auto"/>
              </w:rPr>
              <w:t>F-31</w:t>
            </w:r>
          </w:p>
        </w:tc>
      </w:tr>
      <w:tr>
        <w:trPr>
          <w:trHeight w:val="196"/>
        </w:trPr>
        <w:tc>
          <w:tcPr>
            <w:tcW w:w="19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76"/>
        </w:trPr>
        <w:tc>
          <w:tcPr>
            <w:tcW w:w="10240" w:type="dxa"/>
            <w:vAlign w:val="bottom"/>
            <w:gridSpan w:val="9"/>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100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6"/>
                <w:szCs w:val="16"/>
                <w:color w:val="auto"/>
              </w:rPr>
              <w:t>F-32</w:t>
            </w:r>
          </w:p>
        </w:tc>
      </w:tr>
      <w:tr>
        <w:trPr>
          <w:trHeight w:val="196"/>
        </w:trPr>
        <w:tc>
          <w:tcPr>
            <w:tcW w:w="1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76"/>
        </w:trPr>
        <w:tc>
          <w:tcPr>
            <w:tcW w:w="10240" w:type="dxa"/>
            <w:vAlign w:val="bottom"/>
            <w:gridSpan w:val="9"/>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100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6"/>
                <w:szCs w:val="16"/>
                <w:color w:val="auto"/>
              </w:rPr>
              <w:t>F-33</w:t>
            </w:r>
          </w:p>
        </w:tc>
      </w:tr>
      <w:tr>
        <w:trPr>
          <w:trHeight w:val="196"/>
        </w:trPr>
        <w:tc>
          <w:tcPr>
            <w:tcW w:w="1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76"/>
        </w:trPr>
        <w:tc>
          <w:tcPr>
            <w:tcW w:w="10240" w:type="dxa"/>
            <w:vAlign w:val="bottom"/>
            <w:gridSpan w:val="9"/>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Balance Sheets as of December 31, 2022 and 2021</w:t>
            </w:r>
          </w:p>
        </w:tc>
        <w:tc>
          <w:tcPr>
            <w:tcW w:w="100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6"/>
                <w:szCs w:val="16"/>
                <w:color w:val="auto"/>
              </w:rPr>
              <w:t>F-34</w:t>
            </w:r>
          </w:p>
        </w:tc>
      </w:tr>
      <w:tr>
        <w:trPr>
          <w:trHeight w:val="196"/>
        </w:trPr>
        <w:tc>
          <w:tcPr>
            <w:tcW w:w="1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76"/>
        </w:trPr>
        <w:tc>
          <w:tcPr>
            <w:tcW w:w="10240" w:type="dxa"/>
            <w:vAlign w:val="bottom"/>
            <w:gridSpan w:val="9"/>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Statements of Operations for the Years Ended December 31, 2022 and 2021</w:t>
            </w:r>
          </w:p>
        </w:tc>
        <w:tc>
          <w:tcPr>
            <w:tcW w:w="100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6"/>
                <w:szCs w:val="16"/>
                <w:color w:val="auto"/>
              </w:rPr>
              <w:t>F-35</w:t>
            </w:r>
          </w:p>
        </w:tc>
      </w:tr>
      <w:tr>
        <w:trPr>
          <w:trHeight w:val="196"/>
        </w:trPr>
        <w:tc>
          <w:tcPr>
            <w:tcW w:w="1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76"/>
        </w:trPr>
        <w:tc>
          <w:tcPr>
            <w:tcW w:w="10240" w:type="dxa"/>
            <w:vAlign w:val="bottom"/>
            <w:gridSpan w:val="9"/>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Statements of Changes in Stockholders’ Deficit for the Years Ended December 31, 2022 and 2021</w:t>
            </w:r>
          </w:p>
        </w:tc>
        <w:tc>
          <w:tcPr>
            <w:tcW w:w="100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6"/>
                <w:szCs w:val="16"/>
                <w:color w:val="auto"/>
              </w:rPr>
              <w:t>F-36</w:t>
            </w:r>
          </w:p>
        </w:tc>
      </w:tr>
      <w:tr>
        <w:trPr>
          <w:trHeight w:val="196"/>
        </w:trPr>
        <w:tc>
          <w:tcPr>
            <w:tcW w:w="1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76"/>
        </w:trPr>
        <w:tc>
          <w:tcPr>
            <w:tcW w:w="10240" w:type="dxa"/>
            <w:vAlign w:val="bottom"/>
            <w:gridSpan w:val="9"/>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Statements of Cash Flows for the Years Ended December 31, 2022 and 2021</w:t>
            </w:r>
          </w:p>
        </w:tc>
        <w:tc>
          <w:tcPr>
            <w:tcW w:w="100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6"/>
                <w:szCs w:val="16"/>
                <w:color w:val="auto"/>
              </w:rPr>
              <w:t>F-37</w:t>
            </w:r>
          </w:p>
        </w:tc>
      </w:tr>
      <w:tr>
        <w:trPr>
          <w:trHeight w:val="196"/>
        </w:trPr>
        <w:tc>
          <w:tcPr>
            <w:tcW w:w="1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76"/>
        </w:trPr>
        <w:tc>
          <w:tcPr>
            <w:tcW w:w="10240" w:type="dxa"/>
            <w:vAlign w:val="bottom"/>
            <w:gridSpan w:val="9"/>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Notes to Financial Statements</w:t>
            </w:r>
          </w:p>
        </w:tc>
        <w:tc>
          <w:tcPr>
            <w:tcW w:w="100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6"/>
                <w:szCs w:val="16"/>
                <w:color w:val="auto"/>
              </w:rPr>
              <w:t>F-38</w:t>
            </w:r>
          </w:p>
        </w:tc>
      </w:tr>
      <w:tr>
        <w:trPr>
          <w:trHeight w:val="594"/>
        </w:trPr>
        <w:tc>
          <w:tcPr>
            <w:tcW w:w="19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240" w:type="dxa"/>
            <w:vAlign w:val="bottom"/>
            <w:tcBorders>
              <w:top w:val="single" w:sz="8" w:color="CCEEFF"/>
              <w:bottom w:val="single" w:sz="8" w:color="auto"/>
            </w:tcBorders>
            <w:gridSpan w:val="3"/>
          </w:tcPr>
          <w:p>
            <w:pPr>
              <w:jc w:val="center"/>
              <w:ind w:right="4000"/>
              <w:spacing w:after="0"/>
              <w:rPr>
                <w:sz w:val="20"/>
                <w:szCs w:val="20"/>
                <w:color w:val="auto"/>
              </w:rPr>
            </w:pPr>
            <w:r>
              <w:rPr>
                <w:rFonts w:ascii="Times New Roman" w:cs="Times New Roman" w:eastAsia="Times New Roman" w:hAnsi="Times New Roman"/>
                <w:sz w:val="16"/>
                <w:szCs w:val="16"/>
                <w:color w:val="auto"/>
              </w:rPr>
              <w:t>F-31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31"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Patricia Acquisition Corp.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Boca Raton, Florida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have audited the accompanying balance sheet of Patricia Acquisition Corp. (the “Company”) as of December 31,2022, and the related statements of operations, changes in stockholders’ deficit, and cash flows for the year then ended, and the related notes (collectively referred to as the “financial statements”). In our opinion, the financial statements present fairly, in all material respects, the financial position of the Company as of December 31, 2022, and the results of its operations and its cash flows for the year then ended, in conformity with accounting principles generally accepted in the United States of America.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Substantial Doubt About the Company’s Ability to Continue as a Going Concern</w:t>
      </w:r>
    </w:p>
    <w:p>
      <w:pPr>
        <w:spacing w:after="0" w:line="21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6 to the financial statements, the Company has incurred losses from inception, which raises substantial doubt about its ability to continue as a going concern. Management’s plans in regards to these matters are also described in Note 6. The financial statements do not include any adjustments that might result from the outcome of this uncertainty.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GRASSI &amp; CO., CPAs, P.C.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PCAOB # 606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auditors since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Jericho,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30, 2023</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Patricia Acquisition Corp.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have audited the accompanying balance sheets of Patricia Acquisition Corp. (the “Company”) as of December 31, 2021 and 2020, and the related statements of operations, changes in stockholders’ deficit, and cash flows for the year ended December 31, 2021 and for the period from November 9, 2020 (Inception) to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November 9, 2020 (inception) to December 31, 2020,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Substantial Doubt About the Company’s Ability to Continue as a Going Concern</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6 to the financial statements, the Company has incurred losses from inception that raises substantial doubt about its ability to continue as a going concern. Management’s plans in regards to these matters are also described in Note 6. The financial statements do not include any adjustments that might result from the outcome of this uncertainty.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Raich Ende Malter &amp; Co. LLP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PCAOB # 50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Melville,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29, 2022</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6"/>
          <w:szCs w:val="16"/>
          <w:b w:val="1"/>
          <w:bCs w:val="1"/>
          <w:color w:val="auto"/>
        </w:rPr>
        <w:t>PATRICIA ACQUISITION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6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06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vMerge w:val="continue"/>
          </w:tcPr>
          <w:p>
            <w:pPr>
              <w:spacing w:after="0"/>
              <w:rPr>
                <w:sz w:val="16"/>
                <w:szCs w:val="16"/>
                <w:color w:val="auto"/>
              </w:rPr>
            </w:pPr>
          </w:p>
        </w:tc>
        <w:tc>
          <w:tcPr>
            <w:tcW w:w="6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680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457</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185"/>
        </w:trPr>
        <w:tc>
          <w:tcPr>
            <w:tcW w:w="262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6060" w:type="dxa"/>
            <w:vAlign w:val="bottom"/>
            <w:tcBorders>
              <w:top w:val="single" w:sz="8" w:color="CCEEFF"/>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457</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80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457</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271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ectPr>
          <w:pgSz w:w="11900" w:h="16838" w:orient="portrait"/>
          <w:cols w:equalWidth="0" w:num="1">
            <w:col w:w="11240"/>
          </w:cols>
          <w:pgMar w:left="320" w:top="831" w:right="339" w:bottom="1440" w:gutter="0" w:footer="0" w:header="0"/>
        </w:sectPr>
      </w:pPr>
    </w:p>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145020" cy="1244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5020" cy="1244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5020" cy="1244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5020" cy="1244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Accounts payable and accrued expenses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payable - stockholder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45020" cy="1555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5020" cy="1555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140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5020" cy="14033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Commitments and contingencies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tabs>
          <w:tab w:leader="none" w:pos="660" w:val="left"/>
          <w:tab w:leader="none" w:pos="1320" w:val="left"/>
          <w:tab w:leader="none" w:pos="20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10,000</w:t>
        <w:tab/>
        <w:t>$</w:t>
      </w:r>
      <w:r>
        <w:rPr>
          <w:sz w:val="20"/>
          <w:szCs w:val="20"/>
          <w:color w:val="auto"/>
        </w:rPr>
        <w:tab/>
      </w:r>
      <w:r>
        <w:rPr>
          <w:rFonts w:ascii="Times New Roman" w:cs="Times New Roman" w:eastAsia="Times New Roman" w:hAnsi="Times New Roman"/>
          <w:sz w:val="16"/>
          <w:szCs w:val="16"/>
          <w:color w:val="auto"/>
        </w:rPr>
        <w:t>7,500</w:t>
      </w:r>
    </w:p>
    <w:p>
      <w:pPr>
        <w:spacing w:after="0" w:line="30" w:lineRule="exact"/>
        <w:rPr>
          <w:sz w:val="20"/>
          <w:szCs w:val="20"/>
          <w:color w:val="auto"/>
        </w:rPr>
      </w:pPr>
    </w:p>
    <w:p>
      <w:pPr>
        <w:jc w:val="both"/>
        <w:ind w:left="600"/>
        <w:spacing w:after="0"/>
        <w:tabs>
          <w:tab w:leader="none" w:pos="1980" w:val="left"/>
        </w:tabs>
        <w:rPr>
          <w:sz w:val="20"/>
          <w:szCs w:val="20"/>
          <w:color w:val="auto"/>
        </w:rPr>
      </w:pPr>
      <w:r>
        <w:rPr>
          <w:rFonts w:ascii="Times New Roman" w:cs="Times New Roman" w:eastAsia="Times New Roman" w:hAnsi="Times New Roman"/>
          <w:sz w:val="16"/>
          <w:szCs w:val="16"/>
          <w:color w:val="auto"/>
        </w:rPr>
        <w:t>114,000</w:t>
      </w:r>
      <w:r>
        <w:rPr>
          <w:sz w:val="20"/>
          <w:szCs w:val="20"/>
          <w:color w:val="auto"/>
        </w:rPr>
        <w:tab/>
      </w:r>
      <w:r>
        <w:rPr>
          <w:rFonts w:ascii="Times New Roman" w:cs="Times New Roman" w:eastAsia="Times New Roman" w:hAnsi="Times New Roman"/>
          <w:sz w:val="16"/>
          <w:szCs w:val="16"/>
          <w:color w:val="auto"/>
        </w:rPr>
        <w:t>64,960</w:t>
      </w:r>
    </w:p>
    <w:p>
      <w:pPr>
        <w:spacing w:after="0" w:line="32" w:lineRule="exact"/>
        <w:rPr>
          <w:sz w:val="20"/>
          <w:szCs w:val="20"/>
          <w:color w:val="auto"/>
        </w:rPr>
      </w:pPr>
    </w:p>
    <w:p>
      <w:pPr>
        <w:jc w:val="both"/>
        <w:ind w:left="600"/>
        <w:spacing w:after="0"/>
        <w:tabs>
          <w:tab w:leader="none" w:pos="1980" w:val="left"/>
        </w:tabs>
        <w:rPr>
          <w:sz w:val="20"/>
          <w:szCs w:val="20"/>
          <w:color w:val="auto"/>
        </w:rPr>
      </w:pPr>
      <w:r>
        <w:rPr>
          <w:rFonts w:ascii="Times New Roman" w:cs="Times New Roman" w:eastAsia="Times New Roman" w:hAnsi="Times New Roman"/>
          <w:sz w:val="16"/>
          <w:szCs w:val="16"/>
          <w:color w:val="auto"/>
        </w:rPr>
        <w:t>124,000</w:t>
      </w:r>
      <w:r>
        <w:rPr>
          <w:sz w:val="20"/>
          <w:szCs w:val="20"/>
          <w:color w:val="auto"/>
        </w:rPr>
        <w:tab/>
      </w:r>
      <w:r>
        <w:rPr>
          <w:rFonts w:ascii="Times New Roman" w:cs="Times New Roman" w:eastAsia="Times New Roman" w:hAnsi="Times New Roman"/>
          <w:sz w:val="16"/>
          <w:szCs w:val="16"/>
          <w:color w:val="auto"/>
        </w:rPr>
        <w:t>72,460</w:t>
      </w:r>
    </w:p>
    <w:p>
      <w:pPr>
        <w:spacing w:after="0" w:line="37" w:lineRule="exact"/>
        <w:rPr>
          <w:sz w:val="20"/>
          <w:szCs w:val="20"/>
          <w:color w:val="auto"/>
        </w:rPr>
      </w:pPr>
    </w:p>
    <w:p>
      <w:pPr>
        <w:jc w:val="both"/>
        <w:ind w:left="600"/>
        <w:spacing w:after="0"/>
        <w:tabs>
          <w:tab w:leader="none" w:pos="1980" w:val="left"/>
        </w:tabs>
        <w:rPr>
          <w:sz w:val="20"/>
          <w:szCs w:val="20"/>
          <w:color w:val="auto"/>
        </w:rPr>
      </w:pPr>
      <w:r>
        <w:rPr>
          <w:rFonts w:ascii="Times New Roman" w:cs="Times New Roman" w:eastAsia="Times New Roman" w:hAnsi="Times New Roman"/>
          <w:sz w:val="16"/>
          <w:szCs w:val="16"/>
          <w:color w:val="auto"/>
        </w:rPr>
        <w:t>124,000</w:t>
      </w:r>
      <w:r>
        <w:rPr>
          <w:sz w:val="20"/>
          <w:szCs w:val="20"/>
          <w:color w:val="auto"/>
        </w:rPr>
        <w:tab/>
      </w:r>
      <w:r>
        <w:rPr>
          <w:rFonts w:ascii="Times New Roman" w:cs="Times New Roman" w:eastAsia="Times New Roman" w:hAnsi="Times New Roman"/>
          <w:sz w:val="16"/>
          <w:szCs w:val="16"/>
          <w:color w:val="auto"/>
        </w:rPr>
        <w:t>72,460</w:t>
      </w:r>
    </w:p>
    <w:p>
      <w:pPr>
        <w:spacing w:after="0" w:line="466" w:lineRule="exact"/>
        <w:rPr>
          <w:sz w:val="20"/>
          <w:szCs w:val="20"/>
          <w:color w:val="auto"/>
        </w:rPr>
      </w:pPr>
    </w:p>
    <w:p>
      <w:pPr>
        <w:sectPr>
          <w:pgSz w:w="11900" w:h="16838" w:orient="portrait"/>
          <w:cols w:equalWidth="0" w:num="2">
            <w:col w:w="7960" w:space="720"/>
            <w:col w:w="2560"/>
          </w:cols>
          <w:pgMar w:left="320" w:top="831"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8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none issued and outstanding</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50,000,000 shares authorized, 5,000,000 shares issued and outstanding</w:t>
            </w:r>
          </w:p>
        </w:tc>
        <w:tc>
          <w:tcPr>
            <w:tcW w:w="300" w:type="dxa"/>
            <w:vAlign w:val="bottom"/>
          </w:tcPr>
          <w:p>
            <w:pPr>
              <w:spacing w:after="0"/>
              <w:rPr>
                <w:sz w:val="17"/>
                <w:szCs w:val="17"/>
                <w:color w:val="auto"/>
              </w:rPr>
            </w:pPr>
          </w:p>
        </w:tc>
        <w:tc>
          <w:tcPr>
            <w:tcW w:w="9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500</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(72,689)</w:t>
            </w:r>
          </w:p>
        </w:tc>
      </w:tr>
      <w:tr>
        <w:trPr>
          <w:trHeight w:val="185"/>
        </w:trPr>
        <w:tc>
          <w:tcPr>
            <w:tcW w:w="868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Total stockholders’ deficit</w:t>
            </w:r>
          </w:p>
        </w:tc>
        <w:tc>
          <w:tcPr>
            <w:tcW w:w="3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(123,543</w:t>
            </w:r>
          </w:p>
        </w:tc>
        <w:tc>
          <w:tcPr>
            <w:tcW w:w="14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(72,189</w:t>
            </w:r>
          </w:p>
        </w:tc>
        <w:tc>
          <w:tcPr>
            <w:tcW w:w="10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r>
      <w:tr>
        <w:trPr>
          <w:trHeight w:val="22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457</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271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type w:val="continuous"/>
        </w:sectPr>
      </w:pPr>
    </w:p>
    <w:bookmarkStart w:id="165" w:name="page166"/>
    <w:bookmarkEnd w:id="165"/>
    <w:p>
      <w:pPr>
        <w:ind w:left="4400"/>
        <w:spacing w:after="0"/>
        <w:rPr>
          <w:sz w:val="20"/>
          <w:szCs w:val="20"/>
          <w:color w:val="auto"/>
        </w:rPr>
      </w:pPr>
      <w:r>
        <w:rPr>
          <w:rFonts w:ascii="Times New Roman" w:cs="Times New Roman" w:eastAsia="Times New Roman" w:hAnsi="Times New Roman"/>
          <w:sz w:val="16"/>
          <w:szCs w:val="16"/>
          <w:b w:val="1"/>
          <w:bCs w:val="1"/>
          <w:color w:val="auto"/>
        </w:rPr>
        <w:t>PATRICIA ACQUISITION CORP.</w:t>
      </w:r>
    </w:p>
    <w:p>
      <w:pPr>
        <w:spacing w:after="0" w:line="3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187"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34"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12"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tcPr>
          <w:p>
            <w:pPr>
              <w:spacing w:after="0"/>
              <w:rPr>
                <w:sz w:val="18"/>
                <w:szCs w:val="18"/>
                <w:color w:val="auto"/>
              </w:rPr>
            </w:pPr>
          </w:p>
        </w:tc>
        <w:tc>
          <w:tcPr>
            <w:tcW w:w="102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51,354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54,627</w:t>
            </w:r>
          </w:p>
        </w:tc>
        <w:tc>
          <w:tcPr>
            <w:tcW w:w="0" w:type="dxa"/>
            <w:vAlign w:val="bottom"/>
          </w:tcPr>
          <w:p>
            <w:pPr>
              <w:spacing w:after="0"/>
              <w:rPr>
                <w:sz w:val="1"/>
                <w:szCs w:val="1"/>
                <w:color w:val="auto"/>
              </w:rPr>
            </w:pPr>
          </w:p>
        </w:tc>
      </w:tr>
      <w:tr>
        <w:trPr>
          <w:trHeight w:val="20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shd w:val="clear" w:color="auto" w:fill="CCEEFF"/>
          </w:tcPr>
          <w:p>
            <w:pPr>
              <w:jc w:val="right"/>
              <w:spacing w:after="0" w:line="233" w:lineRule="exact"/>
              <w:rPr>
                <w:sz w:val="20"/>
                <w:szCs w:val="20"/>
                <w:color w:val="auto"/>
              </w:rPr>
            </w:pPr>
            <w:r>
              <w:rPr>
                <w:rFonts w:ascii="Times New Roman" w:cs="Times New Roman" w:eastAsia="Times New Roman" w:hAnsi="Times New Roman"/>
                <w:sz w:val="15"/>
                <w:szCs w:val="15"/>
                <w:b w:val="1"/>
                <w:bCs w:val="1"/>
                <w:color w:val="auto"/>
              </w:rPr>
              <w:t>(51,354</w:t>
            </w:r>
            <w:r>
              <w:rPr>
                <w:rFonts w:ascii="Times New Roman" w:cs="Times New Roman" w:eastAsia="Times New Roman" w:hAnsi="Times New Roman"/>
                <w:sz w:val="27"/>
                <w:szCs w:val="27"/>
                <w:b w:val="1"/>
                <w:bCs w:val="1"/>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CEEFF"/>
          </w:tcPr>
          <w:p>
            <w:pPr>
              <w:jc w:val="right"/>
              <w:spacing w:after="0" w:line="233" w:lineRule="exact"/>
              <w:rPr>
                <w:sz w:val="20"/>
                <w:szCs w:val="20"/>
                <w:color w:val="auto"/>
              </w:rPr>
            </w:pPr>
            <w:r>
              <w:rPr>
                <w:rFonts w:ascii="Times New Roman" w:cs="Times New Roman" w:eastAsia="Times New Roman" w:hAnsi="Times New Roman"/>
                <w:sz w:val="15"/>
                <w:szCs w:val="15"/>
                <w:b w:val="1"/>
                <w:bCs w:val="1"/>
                <w:color w:val="auto"/>
              </w:rPr>
              <w:t>(54,627</w:t>
            </w:r>
            <w:r>
              <w:rPr>
                <w:rFonts w:ascii="Times New Roman" w:cs="Times New Roman" w:eastAsia="Times New Roman" w:hAnsi="Times New Roman"/>
                <w:sz w:val="27"/>
                <w:szCs w:val="27"/>
                <w:b w:val="1"/>
                <w:bCs w:val="1"/>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stock outstanding, basic and dilutive</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per share of common stock, basic and dilutive</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line="233" w:lineRule="exact"/>
              <w:rPr>
                <w:sz w:val="20"/>
                <w:szCs w:val="20"/>
                <w:color w:val="auto"/>
              </w:rPr>
            </w:pPr>
            <w:r>
              <w:rPr>
                <w:rFonts w:ascii="Times New Roman" w:cs="Times New Roman" w:eastAsia="Times New Roman" w:hAnsi="Times New Roman"/>
                <w:sz w:val="15"/>
                <w:szCs w:val="15"/>
                <w:color w:val="auto"/>
              </w:rPr>
              <w:t>(0.01</w:t>
            </w:r>
            <w:r>
              <w:rPr>
                <w:rFonts w:ascii="Times New Roman" w:cs="Times New Roman" w:eastAsia="Times New Roman" w:hAnsi="Times New Roman"/>
                <w:sz w:val="27"/>
                <w:szCs w:val="27"/>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line="233" w:lineRule="exact"/>
              <w:rPr>
                <w:sz w:val="20"/>
                <w:szCs w:val="20"/>
                <w:color w:val="auto"/>
              </w:rPr>
            </w:pPr>
            <w:r>
              <w:rPr>
                <w:rFonts w:ascii="Times New Roman" w:cs="Times New Roman" w:eastAsia="Times New Roman" w:hAnsi="Times New Roman"/>
                <w:sz w:val="15"/>
                <w:szCs w:val="15"/>
                <w:color w:val="auto"/>
              </w:rPr>
              <w:t>(0.01</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4060"/>
              <w:spacing w:after="0"/>
              <w:rPr>
                <w:sz w:val="20"/>
                <w:szCs w:val="20"/>
                <w:color w:val="auto"/>
              </w:rPr>
            </w:pPr>
            <w:r>
              <w:rPr>
                <w:rFonts w:ascii="Times New Roman" w:cs="Times New Roman" w:eastAsia="Times New Roman" w:hAnsi="Times New Roman"/>
                <w:sz w:val="16"/>
                <w:szCs w:val="16"/>
                <w:color w:val="auto"/>
              </w:rPr>
              <w:t>See accompanying notes to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6"/>
                <w:szCs w:val="16"/>
                <w:color w:val="auto"/>
              </w:rPr>
              <w:t>F-35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1" w:right="3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0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Balances – December 31, 2020 </w:t>
      </w:r>
      <w:r>
        <w:rPr>
          <w:rFonts w:ascii="Times New Roman" w:cs="Times New Roman" w:eastAsia="Times New Roman" w:hAnsi="Times New Roman"/>
          <w:sz w:val="16"/>
          <w:szCs w:val="16"/>
          <w:color w:val="auto"/>
        </w:rPr>
        <w:t>Net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Balances – December 31,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Balances – December 31, 2022</w:t>
      </w:r>
    </w:p>
    <w:p>
      <w:pPr>
        <w:spacing w:after="0" w:line="20" w:lineRule="exact"/>
        <w:rPr>
          <w:sz w:val="20"/>
          <w:szCs w:val="20"/>
          <w:color w:val="auto"/>
        </w:rPr>
      </w:pPr>
      <w:r>
        <w:rPr>
          <w:sz w:val="20"/>
          <w:szCs w:val="20"/>
          <w:color w:val="auto"/>
        </w:rPr>
        <w:br w:type="column"/>
      </w:r>
    </w:p>
    <w:p>
      <w:pPr>
        <w:jc w:val="center"/>
        <w:ind w:right="326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PATRICIA ACQUISITION CORP. STATEMENTS OF CHANGES IN STOCKHOLDERS’ DEFICIT </w:t>
      </w:r>
      <w:r>
        <w:rPr>
          <w:rFonts w:ascii="Times New Roman" w:cs="Times New Roman" w:eastAsia="Times New Roman" w:hAnsi="Times New Roman"/>
          <w:sz w:val="16"/>
          <w:szCs w:val="16"/>
          <w:color w:val="auto"/>
        </w:rPr>
        <w:t>For the Years Ended December 31, 2022 and 2021</w:t>
      </w:r>
    </w:p>
    <w:p>
      <w:pPr>
        <w:spacing w:after="0" w:line="146" w:lineRule="exact"/>
        <w:rPr>
          <w:sz w:val="20"/>
          <w:szCs w:val="20"/>
          <w:color w:val="auto"/>
        </w:rPr>
      </w:pPr>
    </w:p>
    <w:tbl>
      <w:tblPr>
        <w:tblLayout w:type="fixed"/>
        <w:tblInd w:w="266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34"/>
        </w:trPr>
        <w:tc>
          <w:tcPr>
            <w:tcW w:w="2220" w:type="dxa"/>
            <w:vAlign w:val="bottom"/>
            <w:tcBorders>
              <w:bottom w:val="single" w:sz="8" w:color="auto"/>
            </w:tcBorders>
            <w:gridSpan w:val="3"/>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20"/>
                <w:szCs w:val="20"/>
                <w:color w:val="auto"/>
              </w:rPr>
            </w:pPr>
          </w:p>
        </w:tc>
        <w:tc>
          <w:tcPr>
            <w:tcW w:w="11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3"/>
        </w:trPr>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80"/>
        </w:trPr>
        <w:tc>
          <w:tcPr>
            <w:tcW w:w="11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5,000,000</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ind w:right="698"/>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500</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(18,062)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(17,562)</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(54,627)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(54,627)</w:t>
            </w:r>
          </w:p>
        </w:tc>
        <w:tc>
          <w:tcPr>
            <w:tcW w:w="0" w:type="dxa"/>
            <w:vAlign w:val="bottom"/>
          </w:tcPr>
          <w:p>
            <w:pPr>
              <w:spacing w:after="0"/>
              <w:rPr>
                <w:sz w:val="1"/>
                <w:szCs w:val="1"/>
                <w:color w:val="auto"/>
              </w:rPr>
            </w:pPr>
          </w:p>
        </w:tc>
      </w:tr>
      <w:tr>
        <w:trPr>
          <w:trHeight w:val="25"/>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00" w:type="dxa"/>
            <w:vAlign w:val="bottom"/>
          </w:tcPr>
          <w:p>
            <w:pPr>
              <w:spacing w:after="0"/>
              <w:rPr>
                <w:sz w:val="24"/>
                <w:szCs w:val="24"/>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(72,689)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(72,189)</w:t>
            </w:r>
          </w:p>
        </w:tc>
        <w:tc>
          <w:tcPr>
            <w:tcW w:w="0" w:type="dxa"/>
            <w:vAlign w:val="bottom"/>
          </w:tcPr>
          <w:p>
            <w:pPr>
              <w:spacing w:after="0"/>
              <w:rPr>
                <w:sz w:val="1"/>
                <w:szCs w:val="1"/>
                <w:color w:val="auto"/>
              </w:rPr>
            </w:pPr>
          </w:p>
        </w:tc>
      </w:tr>
      <w:tr>
        <w:trPr>
          <w:trHeight w:val="40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(51,354)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(51,354)</w:t>
            </w:r>
          </w:p>
        </w:tc>
        <w:tc>
          <w:tcPr>
            <w:tcW w:w="0" w:type="dxa"/>
            <w:vAlign w:val="bottom"/>
          </w:tcPr>
          <w:p>
            <w:pPr>
              <w:spacing w:after="0"/>
              <w:rPr>
                <w:sz w:val="1"/>
                <w:szCs w:val="1"/>
                <w:color w:val="auto"/>
              </w:rPr>
            </w:pPr>
          </w:p>
        </w:tc>
      </w:tr>
      <w:tr>
        <w:trPr>
          <w:trHeight w:val="25"/>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5"/>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5,000,000</w:t>
            </w:r>
          </w:p>
        </w:tc>
        <w:tc>
          <w:tcPr>
            <w:tcW w:w="220" w:type="dxa"/>
            <w:vAlign w:val="bottom"/>
          </w:tcPr>
          <w:p>
            <w:pPr>
              <w:spacing w:after="0"/>
              <w:rPr>
                <w:sz w:val="19"/>
                <w:szCs w:val="19"/>
                <w:color w:val="auto"/>
              </w:rPr>
            </w:pP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(124,043</w:t>
            </w:r>
          </w:p>
        </w:tc>
        <w:tc>
          <w:tcPr>
            <w:tcW w:w="220" w:type="dxa"/>
            <w:vAlign w:val="bottom"/>
            <w:vMerge w:val="continue"/>
          </w:tcPr>
          <w:p>
            <w:pPr>
              <w:spacing w:after="0"/>
              <w:rPr>
                <w:sz w:val="19"/>
                <w:szCs w:val="19"/>
                <w:color w:val="auto"/>
              </w:rPr>
            </w:pPr>
          </w:p>
        </w:tc>
        <w:tc>
          <w:tcPr>
            <w:tcW w:w="200" w:type="dxa"/>
            <w:vAlign w:val="bottom"/>
            <w:gridSpan w:val="2"/>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(123,543</w:t>
            </w:r>
          </w:p>
        </w:tc>
        <w:tc>
          <w:tcPr>
            <w:tcW w:w="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-981075</wp:posOffset>
            </wp:positionV>
            <wp:extent cx="7145020" cy="132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5020" cy="13271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-708660</wp:posOffset>
            </wp:positionV>
            <wp:extent cx="7145020" cy="132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5020" cy="13271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-451485</wp:posOffset>
            </wp:positionV>
            <wp:extent cx="7145020" cy="1244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5020" cy="124460"/>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-186055</wp:posOffset>
            </wp:positionV>
            <wp:extent cx="7145020" cy="163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5020" cy="163830"/>
                    </a:xfrm>
                    <a:prstGeom prst="rect">
                      <a:avLst/>
                    </a:prstGeom>
                    <a:noFill/>
                  </pic:spPr>
                </pic:pic>
              </a:graphicData>
            </a:graphic>
          </wp:anchor>
        </w:drawing>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See accompanying notes to financial statements</w:t>
      </w:r>
    </w:p>
    <w:p>
      <w:pPr>
        <w:spacing w:after="0" w:line="200" w:lineRule="exact"/>
        <w:rPr>
          <w:sz w:val="20"/>
          <w:szCs w:val="20"/>
          <w:color w:val="auto"/>
        </w:rPr>
      </w:pPr>
    </w:p>
    <w:p>
      <w:pPr>
        <w:spacing w:after="0" w:line="2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18415</wp:posOffset>
            </wp:positionV>
            <wp:extent cx="7145020"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2">
            <w:col w:w="2600" w:space="720"/>
            <w:col w:w="7880"/>
          </w:cols>
          <w:pgMar w:left="320" w:top="831" w:right="379" w:bottom="1440" w:gutter="0" w:footer="0" w:header="0"/>
        </w:sectPr>
      </w:pPr>
    </w:p>
    <w:bookmarkStart w:id="167" w:name="page168"/>
    <w:bookmarkEnd w:id="167"/>
    <w:p>
      <w:pPr>
        <w:ind w:left="4400"/>
        <w:spacing w:after="0"/>
        <w:rPr>
          <w:sz w:val="20"/>
          <w:szCs w:val="20"/>
          <w:color w:val="auto"/>
        </w:rPr>
      </w:pPr>
      <w:r>
        <w:rPr>
          <w:rFonts w:ascii="Times New Roman" w:cs="Times New Roman" w:eastAsia="Times New Roman" w:hAnsi="Times New Roman"/>
          <w:sz w:val="16"/>
          <w:szCs w:val="16"/>
          <w:b w:val="1"/>
          <w:bCs w:val="1"/>
          <w:color w:val="auto"/>
        </w:rPr>
        <w:t>PATRICIA ACQUISITION CORP.</w:t>
      </w:r>
    </w:p>
    <w:p>
      <w:pPr>
        <w:spacing w:after="0" w:line="34"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145020" cy="1244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5020" cy="1244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5020" cy="147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5020" cy="1479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7145020" cy="1403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5020" cy="14033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145020" cy="147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5020" cy="1479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note payable - stockholder</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7145020" cy="140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5020" cy="14033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565910"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65910" cy="15875"/>
                    </a:xfrm>
                    <a:prstGeom prst="rect">
                      <a:avLst/>
                    </a:prstGeom>
                    <a:noFill/>
                  </pic:spPr>
                </pic:pic>
              </a:graphicData>
            </a:graphic>
          </wp:anchor>
        </w:drawing>
      </w:r>
    </w:p>
    <w:p>
      <w:pPr>
        <w:spacing w:after="0" w:line="8"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565910"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65910" cy="15875"/>
                    </a:xfrm>
                    <a:prstGeom prst="rect">
                      <a:avLst/>
                    </a:prstGeom>
                    <a:noFill/>
                  </pic:spPr>
                </pic:pic>
              </a:graphicData>
            </a:graphic>
          </wp:anchor>
        </w:drawing>
      </w:r>
    </w:p>
    <w:p>
      <w:pPr>
        <w:spacing w:after="0" w:line="217" w:lineRule="exact"/>
        <w:rPr>
          <w:sz w:val="20"/>
          <w:szCs w:val="20"/>
          <w:color w:val="auto"/>
        </w:rPr>
      </w:pPr>
    </w:p>
    <w:p>
      <w:pPr>
        <w:spacing w:after="0"/>
        <w:tabs>
          <w:tab w:leader="none" w:pos="600" w:val="left"/>
          <w:tab w:leader="none" w:pos="1320" w:val="left"/>
          <w:tab w:leader="none" w:pos="19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(51,354)</w:t>
        <w:tab/>
        <w:t>$</w:t>
      </w:r>
      <w:r>
        <w:rPr>
          <w:sz w:val="20"/>
          <w:szCs w:val="20"/>
          <w:color w:val="auto"/>
        </w:rPr>
        <w:tab/>
      </w:r>
      <w:r>
        <w:rPr>
          <w:rFonts w:ascii="Times New Roman" w:cs="Times New Roman" w:eastAsia="Times New Roman" w:hAnsi="Times New Roman"/>
          <w:sz w:val="16"/>
          <w:szCs w:val="16"/>
          <w:color w:val="auto"/>
        </w:rPr>
        <w:t>(54,627)</w:t>
      </w:r>
    </w:p>
    <w:p>
      <w:pPr>
        <w:spacing w:after="0" w:line="221" w:lineRule="exact"/>
        <w:rPr>
          <w:sz w:val="20"/>
          <w:szCs w:val="20"/>
          <w:color w:val="auto"/>
        </w:rPr>
      </w:pPr>
    </w:p>
    <w:p>
      <w:pPr>
        <w:ind w:left="760"/>
        <w:spacing w:after="0"/>
        <w:tabs>
          <w:tab w:leader="none" w:pos="2080" w:val="left"/>
        </w:tabs>
        <w:rPr>
          <w:sz w:val="20"/>
          <w:szCs w:val="20"/>
          <w:color w:val="auto"/>
        </w:rPr>
      </w:pPr>
      <w:r>
        <w:rPr>
          <w:rFonts w:ascii="Times New Roman" w:cs="Times New Roman" w:eastAsia="Times New Roman" w:hAnsi="Times New Roman"/>
          <w:sz w:val="16"/>
          <w:szCs w:val="16"/>
          <w:color w:val="auto"/>
        </w:rPr>
        <w:t>2,500</w:t>
      </w:r>
      <w:r>
        <w:rPr>
          <w:sz w:val="20"/>
          <w:szCs w:val="20"/>
          <w:color w:val="auto"/>
        </w:rPr>
        <w:tab/>
      </w:r>
      <w:r>
        <w:rPr>
          <w:rFonts w:ascii="Times New Roman" w:cs="Times New Roman" w:eastAsia="Times New Roman" w:hAnsi="Times New Roman"/>
          <w:sz w:val="16"/>
          <w:szCs w:val="16"/>
          <w:color w:val="auto"/>
        </w:rPr>
        <w:t>3,000</w:t>
      </w:r>
    </w:p>
    <w:p>
      <w:pPr>
        <w:spacing w:after="0" w:line="30" w:lineRule="exact"/>
        <w:rPr>
          <w:sz w:val="20"/>
          <w:szCs w:val="20"/>
          <w:color w:val="auto"/>
        </w:rPr>
      </w:pPr>
    </w:p>
    <w:p>
      <w:pPr>
        <w:jc w:val="right"/>
        <w:ind w:right="40"/>
        <w:spacing w:after="0"/>
        <w:tabs>
          <w:tab w:leader="none" w:pos="540" w:val="left"/>
        </w:tabs>
        <w:rPr>
          <w:sz w:val="20"/>
          <w:szCs w:val="20"/>
          <w:color w:val="auto"/>
        </w:rPr>
      </w:pPr>
      <w:r>
        <w:rPr>
          <w:rFonts w:ascii="Times New Roman" w:cs="Times New Roman" w:eastAsia="Times New Roman" w:hAnsi="Times New Roman"/>
          <w:sz w:val="16"/>
          <w:szCs w:val="16"/>
          <w:color w:val="auto"/>
        </w:rPr>
        <w:t>(48,854)</w:t>
      </w:r>
      <w:r>
        <w:rPr>
          <w:sz w:val="20"/>
          <w:szCs w:val="20"/>
          <w:color w:val="auto"/>
        </w:rPr>
        <w:tab/>
      </w:r>
      <w:r>
        <w:rPr>
          <w:rFonts w:ascii="Times New Roman" w:cs="Times New Roman" w:eastAsia="Times New Roman" w:hAnsi="Times New Roman"/>
          <w:sz w:val="16"/>
          <w:szCs w:val="16"/>
          <w:color w:val="auto"/>
        </w:rPr>
        <w:t>(51,627)</w:t>
      </w:r>
    </w:p>
    <w:p>
      <w:pPr>
        <w:spacing w:after="0" w:line="200" w:lineRule="exact"/>
        <w:rPr>
          <w:sz w:val="20"/>
          <w:szCs w:val="20"/>
          <w:color w:val="auto"/>
        </w:rPr>
      </w:pPr>
    </w:p>
    <w:p>
      <w:pPr>
        <w:spacing w:after="0" w:line="249" w:lineRule="exact"/>
        <w:rPr>
          <w:sz w:val="20"/>
          <w:szCs w:val="20"/>
          <w:color w:val="auto"/>
        </w:rPr>
      </w:pPr>
    </w:p>
    <w:p>
      <w:pPr>
        <w:ind w:left="680"/>
        <w:spacing w:after="0"/>
        <w:tabs>
          <w:tab w:leader="none" w:pos="1980" w:val="left"/>
        </w:tabs>
        <w:rPr>
          <w:sz w:val="20"/>
          <w:szCs w:val="20"/>
          <w:color w:val="auto"/>
        </w:rPr>
      </w:pPr>
      <w:r>
        <w:rPr>
          <w:rFonts w:ascii="Times New Roman" w:cs="Times New Roman" w:eastAsia="Times New Roman" w:hAnsi="Times New Roman"/>
          <w:sz w:val="16"/>
          <w:szCs w:val="16"/>
          <w:color w:val="auto"/>
        </w:rPr>
        <w:t>49,040</w:t>
      </w:r>
      <w:r>
        <w:rPr>
          <w:sz w:val="20"/>
          <w:szCs w:val="20"/>
          <w:color w:val="auto"/>
        </w:rPr>
        <w:tab/>
      </w:r>
      <w:r>
        <w:rPr>
          <w:rFonts w:ascii="Times New Roman" w:cs="Times New Roman" w:eastAsia="Times New Roman" w:hAnsi="Times New Roman"/>
          <w:sz w:val="16"/>
          <w:szCs w:val="16"/>
          <w:color w:val="auto"/>
        </w:rPr>
        <w:t>42,460</w:t>
      </w:r>
    </w:p>
    <w:p>
      <w:pPr>
        <w:spacing w:after="0" w:line="37" w:lineRule="exact"/>
        <w:rPr>
          <w:sz w:val="20"/>
          <w:szCs w:val="20"/>
          <w:color w:val="auto"/>
        </w:rPr>
      </w:pPr>
    </w:p>
    <w:p>
      <w:pPr>
        <w:ind w:left="680"/>
        <w:spacing w:after="0"/>
        <w:tabs>
          <w:tab w:leader="none" w:pos="1980" w:val="left"/>
        </w:tabs>
        <w:rPr>
          <w:sz w:val="20"/>
          <w:szCs w:val="20"/>
          <w:color w:val="auto"/>
        </w:rPr>
      </w:pPr>
      <w:r>
        <w:rPr>
          <w:rFonts w:ascii="Times New Roman" w:cs="Times New Roman" w:eastAsia="Times New Roman" w:hAnsi="Times New Roman"/>
          <w:sz w:val="16"/>
          <w:szCs w:val="16"/>
          <w:color w:val="auto"/>
        </w:rPr>
        <w:t>49,040</w:t>
      </w:r>
      <w:r>
        <w:rPr>
          <w:sz w:val="20"/>
          <w:szCs w:val="20"/>
          <w:color w:val="auto"/>
        </w:rPr>
        <w:tab/>
      </w:r>
      <w:r>
        <w:rPr>
          <w:rFonts w:ascii="Times New Roman" w:cs="Times New Roman" w:eastAsia="Times New Roman" w:hAnsi="Times New Roman"/>
          <w:sz w:val="16"/>
          <w:szCs w:val="16"/>
          <w:color w:val="auto"/>
        </w:rPr>
        <w:t>42,460</w:t>
      </w:r>
    </w:p>
    <w:p>
      <w:pPr>
        <w:spacing w:after="0" w:line="229" w:lineRule="exact"/>
        <w:rPr>
          <w:sz w:val="20"/>
          <w:szCs w:val="20"/>
          <w:color w:val="auto"/>
        </w:rPr>
      </w:pPr>
    </w:p>
    <w:p>
      <w:pPr>
        <w:jc w:val="both"/>
        <w:ind w:left="880"/>
        <w:spacing w:after="0"/>
        <w:tabs>
          <w:tab w:leader="none" w:pos="2020" w:val="left"/>
        </w:tabs>
        <w:rPr>
          <w:sz w:val="20"/>
          <w:szCs w:val="20"/>
          <w:color w:val="auto"/>
        </w:rPr>
      </w:pPr>
      <w:r>
        <w:rPr>
          <w:rFonts w:ascii="Times New Roman" w:cs="Times New Roman" w:eastAsia="Times New Roman" w:hAnsi="Times New Roman"/>
          <w:sz w:val="16"/>
          <w:szCs w:val="16"/>
          <w:b w:val="1"/>
          <w:bCs w:val="1"/>
          <w:color w:val="auto"/>
        </w:rPr>
        <w:t>186</w:t>
      </w:r>
      <w:r>
        <w:rPr>
          <w:sz w:val="20"/>
          <w:szCs w:val="20"/>
          <w:color w:val="auto"/>
        </w:rPr>
        <w:tab/>
      </w:r>
      <w:r>
        <w:rPr>
          <w:rFonts w:ascii="Times New Roman" w:cs="Times New Roman" w:eastAsia="Times New Roman" w:hAnsi="Times New Roman"/>
          <w:sz w:val="16"/>
          <w:szCs w:val="16"/>
          <w:b w:val="1"/>
          <w:bCs w:val="1"/>
          <w:color w:val="auto"/>
        </w:rPr>
        <w:t>(9,167)</w:t>
      </w:r>
    </w:p>
    <w:p>
      <w:pPr>
        <w:spacing w:after="0" w:line="51" w:lineRule="exact"/>
        <w:rPr>
          <w:sz w:val="20"/>
          <w:szCs w:val="20"/>
          <w:color w:val="auto"/>
        </w:rPr>
      </w:pPr>
    </w:p>
    <w:p>
      <w:pPr>
        <w:sectPr>
          <w:pgSz w:w="11900" w:h="16838" w:orient="portrait"/>
          <w:cols w:equalWidth="0" w:num="2">
            <w:col w:w="7960" w:space="720"/>
            <w:col w:w="2560"/>
          </w:cols>
          <w:pgMar w:left="320" w:top="831" w:right="339" w:bottom="1440" w:gutter="0" w:footer="0" w:header="0"/>
        </w:sectPr>
      </w:pPr>
    </w:p>
    <w:tbl>
      <w:tblPr>
        <w:tblLayout w:type="fixed"/>
        <w:tblInd w:w="0" w:type="dxa"/>
        <w:tblCellMar>
          <w:top w:w="0" w:type="dxa"/>
          <w:left w:w="0" w:type="dxa"/>
          <w:bottom w:w="0" w:type="dxa"/>
          <w:right w:w="0" w:type="dxa"/>
        </w:tblCellMar>
      </w:tblP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 beginning of period</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271</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 end of period</w:t>
            </w: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48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457</w:t>
            </w: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type w:val="continuous"/>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6"/>
          <w:szCs w:val="16"/>
          <w:b w:val="1"/>
          <w:bCs w:val="1"/>
          <w:color w:val="auto"/>
        </w:rPr>
        <w:t>PATRICIA ACQUISITION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1. </w:t>
      </w:r>
      <w:r>
        <w:rPr>
          <w:rFonts w:ascii="Times New Roman" w:cs="Times New Roman" w:eastAsia="Times New Roman" w:hAnsi="Times New Roman"/>
          <w:sz w:val="16"/>
          <w:szCs w:val="16"/>
          <w:b w:val="1"/>
          <w:bCs w:val="1"/>
          <w:u w:val="single" w:color="auto"/>
          <w:color w:val="auto"/>
        </w:rPr>
        <w:t>Nature of Operations</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Patricia Acquisition Corp. (the “Company”) was incorporated in the State of Delaware on November 9, 2020. The Company’s management has chosen December 31st for its fiscal year end.</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was organized as a vehicle to investigate and, if such investigation warrants, acquire a target company or business seeking the perceived advantages of being a publicly traded corporation. The Company’s principal business objective is to achieve long-term growth potential through a combination with a business, rather than immediate short-term earnings. The Company will not restrict its potential target companies to any specific business, industry, or geographical location. The analysis of business opportunities will be undertaken by, or under the supervision of, the officer and directors of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2. </w:t>
      </w:r>
      <w:r>
        <w:rPr>
          <w:rFonts w:ascii="Times New Roman" w:cs="Times New Roman" w:eastAsia="Times New Roman" w:hAnsi="Times New Roman"/>
          <w:sz w:val="16"/>
          <w:szCs w:val="16"/>
          <w:b w:val="1"/>
          <w:bCs w:val="1"/>
          <w:u w:val="single" w:color="auto"/>
          <w:color w:val="auto"/>
        </w:rPr>
        <w:t>Basis of Presentation and Summary of Significant Accounting Policies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Basis of Presentation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financial statements have been prepared in accordance with accounting principles generally accepted in the United States of America (“</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Use of Estimates</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Actual results could differ from those estimates.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Income Taxes</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 adopted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at its inception. Under ASC 740, 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components of the deferred tax assets and liabilities are individually classified as current and non-current based on their characteristics.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Company recognizes accrued interest and penalties related to unrecognized tax benefits as income tax expense. There were no unrecognized tax benefits and no amounts accrued for interest and penalties as of December 31, 2022 and 2021. The Company is currently not aware of any issues under review that could result in significant payments, accruals or material deviation from its position.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Loss per Common Share</w:t>
      </w:r>
    </w:p>
    <w:p>
      <w:pPr>
        <w:spacing w:after="0" w:line="2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Net loss per share is computed by dividing net loss by the weighted average number of common shares outstanding for the period. Diluted earnings per share takes into effect any dilutive instruments, except when doing so would be anti-dilutive. As of December 31, 2022 and 2021, there were no dilutive instruments.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auto"/>
        </w:rPr>
        <w:t>Emerging Growth Company</w:t>
      </w:r>
    </w:p>
    <w:p>
      <w:pPr>
        <w:spacing w:after="0" w:line="20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Company is an “emerging growth company,” as defined in Section 2(a) of the Securities Act, as modified by the Jumpstart Our Business Startups Act of 2012, or the JOBS Act. As such, the Company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the Company’s periodic reports and proxy statements, and exemptions from the requirements of holding a non-binding advisory vote on executive compensation and shareholder approval of any golden parachute payments not previously approved. If some investors find the securities less attractive as a result, there may be a less active trading market for securities and the prices of securities may be more volatile.</w:t>
      </w:r>
    </w:p>
    <w:p>
      <w:pPr>
        <w:spacing w:after="0" w:line="16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In addition, Section 107 of the JOBS Act also provides that an “emerging growth company” can take advantage of the extended transition period provided in Section 7(a) (2)(B) of the Securities Act for complying with new or revised accounting standards (that is, an “emerging growth company” can delay the adoption of certain accounting standards until those standards would otherwise apply to private companies). The Company intends to take advantage of the benefits of this extended transition period.</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Additionally, the Company is a “smaller reporting company” as defined in Item 10(f)(1) of Regulation S-K. Smaller reporting companies may take advantage of certain reduced disclosure obligations, including, among other things, providing only two years of audited financial statements. The Company will remain a smaller reporting company until the last day of the fiscal year in which (1) the market value of the ordinary shares held by non-affiliates equals or exceeds $250 million as of the prior June 30, and (2) the annual revenues equaled or exceeded $100 million during such completed fiscal year or the market value of the ordinary shares held by non-affiliates equals or exceeds $700 million as of the prior June 30.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Recently Issued Accounting Pronouncements</w:t>
      </w:r>
    </w:p>
    <w:p>
      <w:pPr>
        <w:spacing w:after="0" w:line="20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Management does not believe that any recently issued, but not yet effective accounting pronouncements, if adopted, would have a material effect on the accompanying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3. </w:t>
      </w:r>
      <w:r>
        <w:rPr>
          <w:rFonts w:ascii="Times New Roman" w:cs="Times New Roman" w:eastAsia="Times New Roman" w:hAnsi="Times New Roman"/>
          <w:sz w:val="16"/>
          <w:szCs w:val="16"/>
          <w:b w:val="1"/>
          <w:bCs w:val="1"/>
          <w:u w:val="single" w:color="auto"/>
          <w:color w:val="auto"/>
        </w:rPr>
        <w:t>Capital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Preferred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2022 and 2021, the Company has 10,000,000 shares of preferred stock, par value of $0.0001, authorized and none issued or outstanding.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Common Stock</w:t>
      </w:r>
    </w:p>
    <w:p>
      <w:pPr>
        <w:spacing w:after="0" w:line="20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As of December 31, 2022 and 2021, the Company has 50,000,000 shares of common stock, par value of $0.0001, authorized and has issued 5,000,000 shares of its $0.0001 par value common stock for $500 to the founders of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4. </w:t>
      </w:r>
      <w:r>
        <w:rPr>
          <w:rFonts w:ascii="Times New Roman" w:cs="Times New Roman" w:eastAsia="Times New Roman" w:hAnsi="Times New Roman"/>
          <w:sz w:val="16"/>
          <w:szCs w:val="16"/>
          <w:b w:val="1"/>
          <w:bCs w:val="1"/>
          <w:u w:val="single" w:color="auto"/>
          <w:color w:val="auto"/>
        </w:rPr>
        <w:t>Income Taxes</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As of December 31, 2022 and 2021, the Company has approximately $22,300 and $11,500, respectively, in gross deferred tax assets resulting from net operating loss carry-forwards of $106,000 and $54,600, respectively, available to offset future taxable income through 2041 subject to the change in ownership provisions under IRC 382. A valuation allowance has been recorded to fully offset these deferred tax assets because the Company’s management believes future realization of the related tax benefits is uncertain.</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170" w:name="page171"/>
    <w:bookmarkEnd w:id="170"/>
    <w:p>
      <w:pPr>
        <w:jc w:val="both"/>
        <w:spacing w:after="0" w:line="294" w:lineRule="auto"/>
        <w:rPr>
          <w:sz w:val="20"/>
          <w:szCs w:val="20"/>
          <w:color w:val="auto"/>
        </w:rPr>
      </w:pPr>
      <w:r>
        <w:rPr>
          <w:rFonts w:ascii="Times New Roman" w:cs="Times New Roman" w:eastAsia="Times New Roman" w:hAnsi="Times New Roman"/>
          <w:sz w:val="16"/>
          <w:szCs w:val="16"/>
          <w:color w:val="auto"/>
        </w:rPr>
        <w:t>The difference between the tax provision at the statutory federal income tax rate on December 31, 2022 and 2021 and the tax provisions attributable to loss before income taxes is as follows:</w:t>
      </w:r>
    </w:p>
    <w:p>
      <w:pPr>
        <w:spacing w:after="0" w:line="14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5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r>
      <w:tr>
        <w:trPr>
          <w:trHeight w:val="19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federal income taxes</w:t>
            </w:r>
          </w:p>
        </w:tc>
        <w:tc>
          <w:tcPr>
            <w:tcW w:w="7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1"/>
        </w:trPr>
        <w:tc>
          <w:tcPr>
            <w:tcW w:w="8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income tax rate, net</w:t>
            </w: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5. </w:t>
      </w:r>
      <w:r>
        <w:rPr>
          <w:rFonts w:ascii="Times New Roman" w:cs="Times New Roman" w:eastAsia="Times New Roman" w:hAnsi="Times New Roman"/>
          <w:sz w:val="16"/>
          <w:szCs w:val="16"/>
          <w:b w:val="1"/>
          <w:bCs w:val="1"/>
          <w:u w:val="single" w:color="auto"/>
          <w:color w:val="auto"/>
        </w:rPr>
        <w:t>Commitments and Related Party Transactions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Office Space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utilizes the office space and equipment of its management at no cost.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 Payable - Stockholder</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November 13, 2020, the Company issued a promissory note (the “Note”) to the majority stockholder of the Company pursuant to which the Company agreed to repay the sum of any and all amounts advanced to the Company, on or before the date that the Company consummates a business combination with a private company or reverse takeover transaction or other transaction, after which the Company would cease to be a shell company. In the event of an Event of Default, the entire note shall automatically become due and payable (the “Default Date”) and starting from five (5) days after the Default Date, the interest rate on the note shall accrue at the rate of eighteen percent (18%) per annum. As of December 31, 2022 and 2021, the amount due under the note payable was $114,000 and $64,960,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6. </w:t>
      </w:r>
      <w:r>
        <w:rPr>
          <w:rFonts w:ascii="Times New Roman" w:cs="Times New Roman" w:eastAsia="Times New Roman" w:hAnsi="Times New Roman"/>
          <w:sz w:val="16"/>
          <w:szCs w:val="16"/>
          <w:b w:val="1"/>
          <w:bCs w:val="1"/>
          <w:u w:val="single" w:color="auto"/>
          <w:color w:val="auto"/>
        </w:rPr>
        <w:t>Going Concern</w:t>
      </w:r>
    </w:p>
    <w:p>
      <w:pPr>
        <w:spacing w:after="0" w:line="21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the Company will continue as a going concern, which contemplates the recoverability of assets and the satisfaction of liabilities in the normal course of business.</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Company has incurred losses from inception of $124,043, has negative working capital of $123,543, and has a stockholders’ deficit of $123,543 as of December 31, 2022. Management believes these conditions raise substantial doubt about the Company’s ability to continue as a going concern for the twelve months following the date these financial statements are issued. Management intends to finance operations over the next twelve months through additional borrowings on the existing Note.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financial statements do not include any adjustments that might be required should the Company be unable to continue as a going concern.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7. </w:t>
      </w:r>
      <w:r>
        <w:rPr>
          <w:rFonts w:ascii="Times New Roman" w:cs="Times New Roman" w:eastAsia="Times New Roman" w:hAnsi="Times New Roman"/>
          <w:sz w:val="16"/>
          <w:szCs w:val="16"/>
          <w:b w:val="1"/>
          <w:bCs w:val="1"/>
          <w:u w:val="single" w:color="auto"/>
          <w:color w:val="auto"/>
        </w:rPr>
        <w:t>Contingencies - COVID-19</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March 11, 2020, the World Health Organization officially declared the outbreak of the novel coronavirus COVID-19 a “pandemic.” A significant outbreak of COVID-19 and other infectious diseases has resulted in a widespread health crisis that has significantly adversely affected businesses of all types, economies and financial markets worldwide. The business of any potential target company with which the Company consummates a business combination could be materially and adversely affected. Furthermore, the Company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extended period of time, the Company’s ability to consummate a business combination, or the operations of a target business with which the Company ultimately consummates a business combination, may be materially adversely affected.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71" w:name="page172"/>
    <w:bookmarkEnd w:id="171"/>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9" w:lineRule="exact"/>
        <w:rPr>
          <w:sz w:val="20"/>
          <w:szCs w:val="20"/>
          <w:color w:val="auto"/>
        </w:rPr>
      </w:pPr>
    </w:p>
    <w:p>
      <w:pPr>
        <w:ind w:left="3502"/>
        <w:spacing w:after="0"/>
        <w:rPr>
          <w:sz w:val="20"/>
          <w:szCs w:val="20"/>
          <w:color w:val="auto"/>
        </w:rPr>
      </w:pPr>
      <w:r>
        <w:rPr>
          <w:rFonts w:ascii="Times New Roman" w:cs="Times New Roman" w:eastAsia="Times New Roman" w:hAnsi="Times New Roman"/>
          <w:sz w:val="16"/>
          <w:szCs w:val="16"/>
          <w:b w:val="1"/>
          <w:bCs w:val="1"/>
          <w:color w:val="auto"/>
        </w:rPr>
        <w:t>INFORMATION NOT REQUIRED IN THE PROSPECTUS</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13. Other Expenses of Issuance and Distribution.</w:t>
      </w:r>
    </w:p>
    <w:p>
      <w:pPr>
        <w:spacing w:after="0" w:line="213" w:lineRule="exact"/>
        <w:rPr>
          <w:sz w:val="20"/>
          <w:szCs w:val="20"/>
          <w:color w:val="auto"/>
        </w:rPr>
      </w:pPr>
    </w:p>
    <w:p>
      <w:pPr>
        <w:ind w:left="2"/>
        <w:spacing w:after="0" w:line="294" w:lineRule="auto"/>
        <w:rPr>
          <w:sz w:val="20"/>
          <w:szCs w:val="20"/>
          <w:color w:val="auto"/>
        </w:rPr>
      </w:pPr>
      <w:r>
        <w:rPr>
          <w:rFonts w:ascii="Times New Roman" w:cs="Times New Roman" w:eastAsia="Times New Roman" w:hAnsi="Times New Roman"/>
          <w:sz w:val="16"/>
          <w:szCs w:val="16"/>
          <w:color w:val="auto"/>
        </w:rPr>
        <w:t>The following table sets forth the estimated fees and expenses payable by us in connection with the offering of the securities being registered. All amounts shown are estimates except for the SEC registration fee, the FINRA filing fee and the Nasdaq listing fee.</w:t>
      </w:r>
    </w:p>
    <w:p>
      <w:pPr>
        <w:spacing w:after="0" w:line="155"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 registration fee</w:t>
            </w:r>
          </w:p>
        </w:tc>
        <w:tc>
          <w:tcPr>
            <w:tcW w:w="450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Nasdaq listing fee</w:t>
            </w:r>
          </w:p>
        </w:tc>
        <w:tc>
          <w:tcPr>
            <w:tcW w:w="3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FINRA filing fee</w:t>
            </w:r>
          </w:p>
        </w:tc>
        <w:tc>
          <w:tcPr>
            <w:tcW w:w="3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3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3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Transfer agent and registrar fees</w:t>
            </w:r>
          </w:p>
        </w:tc>
        <w:tc>
          <w:tcPr>
            <w:tcW w:w="3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Miscellaneous fees and expenses</w:t>
            </w:r>
          </w:p>
        </w:tc>
        <w:tc>
          <w:tcPr>
            <w:tcW w:w="3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Printing expenses</w:t>
            </w:r>
          </w:p>
        </w:tc>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9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80" w:lineRule="exact"/>
        <w:rPr>
          <w:sz w:val="20"/>
          <w:szCs w:val="20"/>
          <w:color w:val="auto"/>
        </w:rPr>
      </w:pPr>
    </w:p>
    <w:p>
      <w:pPr>
        <w:ind w:left="302" w:hanging="302"/>
        <w:spacing w:after="0"/>
        <w:tabs>
          <w:tab w:leader="none" w:pos="30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provided in an amendment.</w:t>
      </w:r>
    </w:p>
    <w:p>
      <w:pPr>
        <w:spacing w:after="0" w:line="2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13"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16"/>
          <w:szCs w:val="16"/>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53" w:lineRule="exact"/>
        <w:rPr>
          <w:sz w:val="20"/>
          <w:szCs w:val="20"/>
          <w:color w:val="auto"/>
        </w:rPr>
      </w:pPr>
    </w:p>
    <w:p>
      <w:pPr>
        <w:jc w:val="both"/>
        <w:ind w:left="2"/>
        <w:spacing w:after="0" w:line="294" w:lineRule="auto"/>
        <w:rPr>
          <w:sz w:val="20"/>
          <w:szCs w:val="20"/>
          <w:color w:val="auto"/>
        </w:rPr>
      </w:pPr>
      <w:r>
        <w:rPr>
          <w:rFonts w:ascii="Times New Roman" w:cs="Times New Roman" w:eastAsia="Times New Roman" w:hAnsi="Times New Roman"/>
          <w:sz w:val="16"/>
          <w:szCs w:val="16"/>
          <w:color w:val="auto"/>
        </w:rPr>
        <w:t>As permitted by the DGCL, the Registrant’s amended and amended and restated certificate of incorporation contains provisions that eliminate the personal liability of its directors for monetary damages for any breach of fiduciary duties as a director, except liability for the following:</w:t>
      </w:r>
    </w:p>
    <w:p>
      <w:pPr>
        <w:spacing w:after="0" w:line="138" w:lineRule="exact"/>
        <w:rPr>
          <w:sz w:val="20"/>
          <w:szCs w:val="20"/>
          <w:color w:val="auto"/>
        </w:rPr>
      </w:pPr>
    </w:p>
    <w:p>
      <w:pPr>
        <w:ind w:left="882" w:hanging="293"/>
        <w:spacing w:after="0"/>
        <w:tabs>
          <w:tab w:leader="none" w:pos="88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the Registrant or its stockholders;</w:t>
      </w:r>
    </w:p>
    <w:p>
      <w:pPr>
        <w:spacing w:after="0" w:line="208" w:lineRule="exact"/>
        <w:rPr>
          <w:rFonts w:ascii="Times New Roman" w:cs="Times New Roman" w:eastAsia="Times New Roman" w:hAnsi="Times New Roman"/>
          <w:sz w:val="16"/>
          <w:szCs w:val="16"/>
          <w:color w:val="auto"/>
        </w:rPr>
      </w:pPr>
    </w:p>
    <w:p>
      <w:pPr>
        <w:ind w:left="882" w:hanging="293"/>
        <w:spacing w:after="0"/>
        <w:tabs>
          <w:tab w:leader="none" w:pos="88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or omissions not in good faith or that involve intentional misconduct or a knowing violation of law;</w:t>
      </w:r>
    </w:p>
    <w:p>
      <w:pPr>
        <w:spacing w:after="0" w:line="208" w:lineRule="exact"/>
        <w:rPr>
          <w:rFonts w:ascii="Times New Roman" w:cs="Times New Roman" w:eastAsia="Times New Roman" w:hAnsi="Times New Roman"/>
          <w:sz w:val="16"/>
          <w:szCs w:val="16"/>
          <w:color w:val="auto"/>
        </w:rPr>
      </w:pPr>
    </w:p>
    <w:p>
      <w:pPr>
        <w:ind w:left="882" w:hanging="293"/>
        <w:spacing w:after="0"/>
        <w:tabs>
          <w:tab w:leader="none" w:pos="88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Section 174 of the DGCL (regarding unlawful dividends and stock purchases); or</w:t>
      </w:r>
    </w:p>
    <w:p>
      <w:pPr>
        <w:spacing w:after="0" w:line="208" w:lineRule="exact"/>
        <w:rPr>
          <w:rFonts w:ascii="Times New Roman" w:cs="Times New Roman" w:eastAsia="Times New Roman" w:hAnsi="Times New Roman"/>
          <w:sz w:val="16"/>
          <w:szCs w:val="16"/>
          <w:color w:val="auto"/>
        </w:rPr>
      </w:pPr>
    </w:p>
    <w:p>
      <w:pPr>
        <w:ind w:left="882" w:hanging="293"/>
        <w:spacing w:after="0"/>
        <w:tabs>
          <w:tab w:leader="none" w:pos="88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derived an improper personal benefit.</w:t>
      </w:r>
    </w:p>
    <w:p>
      <w:pPr>
        <w:spacing w:after="0" w:line="209"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current directors and executive officers to provide these directors and executive officers additional contractual assurances regarding the scope of the indemnification set forth in our amended and amended and restated certificate of incorporation and amended and restated bylaws, and to provide additional procedural protections. There is no pending litigation or proceeding involving any of our directors or executive officers for which indemnification is sought. The indemnification provisions in our amended and restated certificate of incorporation, amended and restated bylaws, and the indemnification agreements entered into between us and each of our directors and executive officers may be sufficiently broad to permit indemnification of our directors and executive officers for liabilities arising under the Securities Act.</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 also currently carry liability insurance for our directors and officers.</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Certain of our directors are also indemnified by their employers with regard to service on our board of directors.</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3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b w:val="1"/>
          <w:bCs w:val="1"/>
          <w:color w:val="auto"/>
        </w:rPr>
        <w:t>Item 15. Recent Sales of Unregistered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Magna Warrant</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connection with the strategic partnership with Magna, on February 7, 2024, the Company issued to Magna a warrant (the “Magna Warrant”) to purchase up to 2,145,000 shares of the Company’s common stock, par value $0.0001 per share (the “Magna Warrant Stock”), subject to adjustments as provided therein, at an exercise price per share of $0.01.</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Magna Warrant will be exercisable in two equal tranches: (i) the first tranche will become exercisable no later than May 15, 2024, subject to certain conditions; and (ii) the second tranche will become exercisable upon the achievement by Magna of a certain manufacturing milestone as set forth in a production and purchase agreement to be entered into with respect to the contract manufacturing of the Company’s autonomous delivery robots by Magna or one of its affiliates. Notwithstanding the foregoing, all of Magna Warrant Stock will vest and become exercisable upon any Change of Control (as defined in the Magna Warrant).</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grant of the Magna Warrant was exempt from registration under Section 4(a)(2) of the Securities Act and Rule 506(b) of Regulation D promulgated by the SEC thereunder.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Convertible Promissory Notes Offering</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At an initial closing on January 2, 2024 and subsequent closings on January 12, 2024, January 22, 2024 and January 26, 2024, we issued an aggregate of $4.9 million in convertible promissory notes to accredited investors. These transactions were exempt from registration under Section 4(a)(2) of the Securities Act as not involving any public offering or Regulation D promulgated thereunder.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Secured Subordinated Promissory Note</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December 27, 2023, Serve issued the December 2023 Kashani Note to Ali Kashani, a holder of greater than 5% of the Company’s capital stock who serves as Chief Executive Officer and is a member of the Board,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issuance of the December 2023 Kashani Note was exempt from registration under Section 4(a)(2) of the Securities Act and Rule 506(b) of Regulation D promulgated by the SEC thereunder.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The Bridge Financing</w:t>
      </w:r>
    </w:p>
    <w:p>
      <w:pPr>
        <w:spacing w:after="0" w:line="2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On April 21, 2023, in connection with the Bridge Financing, Serve offered and sold to accredited investors $3,001,500 principal amount of the Bridge Notes in a private placement. The Bridge Notes bore interest at 10% per annum and were payable on October 21, 2023, subject to earlier conversion as described below.</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July 31, 2023, upon the closing of the Merger and the initial closing of the Private Placement, the outstanding principal amount of the Bridge Notes was automatically converted into 937,961 shares of our common stock at a conversion price of $3.20 per share, and investors in the Bridge Notes received Bridge Warrants to purchase a number of shares of common stock equal to 50% of the number of shares of common stock into which the Bridge Notes were converted, at an exercise price of $3.20 per share for a term of three years. If at any time after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connection with the sale of the Bridge Notes, Serve agreed to cause the Company to issue to the Bridge Brokers, upon closing of the Merger and the Private Placement, Bridge Broker Warrants to purchase a number of shares of Serve’s common stock equal to 8% of the number of shares of common stock into which the Bridge Notes, other than those purchased by Insider Investors, would convert at the closing of the Merger and Private Placement, with an exercise price per share of $3.20 and a term of three years. The Bridge Brokers were entitled to be issued Bridge Broker Warrants to purchase an aggregate of 74,662 shares of our common stock.</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private placement of the Bridge Notes, and the grant of the Bridge Warrants and Bridge Broker Warrants were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auto"/>
        </w:rPr>
        <w:t>Private Placement</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July 31, 2023, in connection with the Private Placement, we issued an aggregate of 2,782,378 shares of common stock at a price of $4.00 per share for aggregate gross consideration of approximately $11.13 million to 71 accredited investors. These transactions were exempt from registration under Section 4(a)(2) of the Securities Act as not involving any public offering or Regulation D promulgated thereunder.</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August 30, 2023, in connection with the Private Placement, we issued an aggregate of 257,762 shares of common stock at a price of $4.00 per share for aggregate gross consideration of approximately $1.03 million to 5 accredited investors. These transactions were exempt from registration under Section 4(a)(2) of the Securities Act as not involving any public offering or Regulation D promulgated thereunder.</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October 26, 2023, in connection with the Private Placement, we issued an aggregate of 143,531 shares of common stock at a price of $4.00 per share for aggregate gross consideration of approximately $0.57 million to 8 accredited investors. These transactions were exempt from registration under Section 4(a)(2) of the Securities Act as not involving any public offering or Regulation D promulgated thereunder.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Placement Agent Warrants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connection with the Private Placement and subject to the closing of the Private Placement, we agreed to pay each of the Placement Agents, Aegis Capital Corp. and Network 1 Financial Services, Inc., each a U.S. registered broker-dealer, a cash placement fee of 8% of the gross proceeds raised from investors in the Private Placement (or 4% of gross proceeds raised from Insider Investors) and to issue to them Placement Agent Warrants consisting of (a) Placement Agent A Warrants to purchase a number of shares of our common stock equal to 8% of the number of shares of common stock sold in the Private Placement (other than to Insider Investors), with a term expiring three years after the common stock begins to trade on Nasdaq or NYSE and an exercise price of $4.00 per share and (b) Placement Agent B Warrants to purchase 125,000 shares of common stock with the same term as the Placement Agent A Warrants and an exercise price of $0.001 per share.</w:t>
      </w:r>
    </w:p>
    <w:p>
      <w:pPr>
        <w:spacing w:after="0" w:line="1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grant of the Placement Agent Warrants was exempt from registration under Section 4(a)(2) of the Securities Act and Rule 506(b) of Regulation D promulgated by the SEC thereunder.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Securities Issued in Connection with the Merger</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July 31, 2023, pursuant to the terms of the Merger Agreement, 3,091,672 shares of Serve’s Series Seed preferred stock, 2,440,411 shares of Serve’s Series Seed-1 preferred stock, 2,088,696 shares of Serve’s Series Seed-2 preferred stock, and 357,836 shares of Serve’s Series Seed-3 stock were converted into an aggregate of 7,978,616 shares of our common stock. These transactions were exempt from registration under Section 4(a)(2) of the Securities Act as not involving any public offering or Regulation D promulgated thereunder. None of the securities were sold through an underwriter and, accordingly, there were no underwriting discounts or commissions involved.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Sales of Unregistered Securities of Serve</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following list sets forth information as to all securities Serve sold from January 15, 2020, through immediately prior to the consummation of the Merger, which were not registered under the Securities Act. The following description is historical and has not been adjusted to give effect to the Merger. The proceeds from these sales were used by the Company for working capital.</w:t>
      </w:r>
    </w:p>
    <w:p>
      <w:pPr>
        <w:spacing w:after="0" w:line="153" w:lineRule="exact"/>
        <w:rPr>
          <w:sz w:val="20"/>
          <w:szCs w:val="20"/>
          <w:color w:val="auto"/>
        </w:rPr>
      </w:pPr>
    </w:p>
    <w:p>
      <w:pPr>
        <w:ind w:left="880" w:hanging="293"/>
        <w:spacing w:after="0" w:line="294"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Between April 27, 2021 and June 25, 2021, Serve issued a total of 3,535,400 shares of Serve’s common stock at a price per share of $0.0012 to stockholders of Serve for gross proceeds of $4,400. Serve relied upon the exemption from registration provided by Regulation 4(2) under the Securities Act.</w:t>
      </w:r>
    </w:p>
    <w:p>
      <w:pPr>
        <w:spacing w:after="0" w:line="138" w:lineRule="exact"/>
        <w:rPr>
          <w:rFonts w:ascii="Times New Roman" w:cs="Times New Roman" w:eastAsia="Times New Roman" w:hAnsi="Times New Roman"/>
          <w:sz w:val="16"/>
          <w:szCs w:val="16"/>
          <w:color w:val="auto"/>
        </w:rPr>
      </w:pPr>
    </w:p>
    <w:p>
      <w:pPr>
        <w:jc w:val="both"/>
        <w:ind w:left="880" w:hanging="293"/>
        <w:spacing w:after="0" w:line="275"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Between April 12, 2021 and September 19, 2021, Serve issued a total of 3,663,819 shares of common stock at a price per share of $0.0013 to service providers of Serve pursuant to the Serve Plan, of which 2,775,306 are outstanding for gross proceeds of $4,725.27. Serve relied upon the exemption from registration provided by Rule 701 of the Securities Act.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74" w:name="page175"/>
    <w:bookmarkEnd w:id="174"/>
    <w:p>
      <w:pPr>
        <w:ind w:left="293" w:hanging="293"/>
        <w:spacing w:after="0" w:line="294"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Between August 23, 2022 and September 7, 2022, Serve issued a total of 338,122 shares of common stock at a price per share of $0.49 to service providers of Serve pursuant to the Serve Plan. Serve relied upon the exemption from registration provided by Rule 701 of the Securities Act.</w:t>
      </w:r>
    </w:p>
    <w:p>
      <w:pPr>
        <w:spacing w:after="0" w:line="138" w:lineRule="exact"/>
        <w:rPr>
          <w:rFonts w:ascii="Times New Roman" w:cs="Times New Roman" w:eastAsia="Times New Roman" w:hAnsi="Times New Roman"/>
          <w:sz w:val="16"/>
          <w:szCs w:val="16"/>
          <w:color w:val="auto"/>
        </w:rPr>
      </w:pPr>
    </w:p>
    <w:p>
      <w:pPr>
        <w:jc w:val="both"/>
        <w:ind w:left="293" w:hanging="293"/>
        <w:spacing w:after="0" w:line="275"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Between December 23, 2021 and October 8, 2022, Serve issued options to purchase a total of 1,229,755 shares of common stock at an exercise price of $0.49 per share to service providers of Serve pursuant to the Serve Plan, of which 829,749 are outstanding. Serve relied upon the exemption from registration provided by Rule 701 of the Securities Act.</w:t>
      </w:r>
    </w:p>
    <w:p>
      <w:pPr>
        <w:spacing w:after="0" w:line="152" w:lineRule="exact"/>
        <w:rPr>
          <w:rFonts w:ascii="Times New Roman" w:cs="Times New Roman" w:eastAsia="Times New Roman" w:hAnsi="Times New Roman"/>
          <w:sz w:val="16"/>
          <w:szCs w:val="16"/>
          <w:color w:val="auto"/>
        </w:rPr>
      </w:pPr>
    </w:p>
    <w:p>
      <w:pPr>
        <w:jc w:val="both"/>
        <w:ind w:left="293" w:hanging="293"/>
        <w:spacing w:after="0" w:line="275"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24, 2021, Serve issued a simple agreement for future equity for an aggregate purchase amount of $1.00 million (the “February 2021 Safe”) to an investor of Serve. The February 2021 Safe converted into 2,440,411 shares of Serve’s Series Seed-1 Preferred Stock at a price per share of $1.5161 on October 4, 2021. Serve relied upon the exemption from registration provided by Regulation 4(2) under the Securities Act.</w:t>
      </w:r>
    </w:p>
    <w:p>
      <w:pPr>
        <w:spacing w:after="0" w:line="152" w:lineRule="exact"/>
        <w:rPr>
          <w:rFonts w:ascii="Times New Roman" w:cs="Times New Roman" w:eastAsia="Times New Roman" w:hAnsi="Times New Roman"/>
          <w:sz w:val="16"/>
          <w:szCs w:val="16"/>
          <w:color w:val="auto"/>
        </w:rPr>
      </w:pPr>
    </w:p>
    <w:p>
      <w:pPr>
        <w:jc w:val="both"/>
        <w:ind w:left="293" w:hanging="293"/>
        <w:spacing w:after="0" w:line="275"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Between January 29, 2021 and March 16, 2021, Serve issued SAFEs for an aggregate purchase amount of $5.68 million (the “2021 Safes”) to investors of Serve. The 2021 Safes converted into 2,088,696 shares of Serve’s Series Seed-2 Preferred Stock at a price per share of $2.7170 on October 4, 2021. Serve relied upon the exemption from registration provided by Regulation 4(2) under the Securities Act.</w:t>
      </w:r>
    </w:p>
    <w:p>
      <w:pPr>
        <w:spacing w:after="0" w:line="152" w:lineRule="exact"/>
        <w:rPr>
          <w:rFonts w:ascii="Times New Roman" w:cs="Times New Roman" w:eastAsia="Times New Roman" w:hAnsi="Times New Roman"/>
          <w:sz w:val="16"/>
          <w:szCs w:val="16"/>
          <w:color w:val="auto"/>
        </w:rPr>
      </w:pPr>
    </w:p>
    <w:p>
      <w:pPr>
        <w:jc w:val="both"/>
        <w:ind w:left="293" w:hanging="293"/>
        <w:spacing w:after="0" w:line="275"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13, 2021, Serve issued a simple agreement for future equity for an aggregate purchase amount of $1.25 million (the “Bridge Safe”) to investors of Serve. The Bridge Safe converted into 357,836 shares of Serve’s Series Seed-3 Preferred Stock at a price per share of $3.4932 on October 4, 2021. Serve relied upon the exemption from registration provided by Regulation 4(2) under the Securities Act.</w:t>
      </w:r>
    </w:p>
    <w:p>
      <w:pPr>
        <w:spacing w:after="0" w:line="152" w:lineRule="exact"/>
        <w:rPr>
          <w:rFonts w:ascii="Times New Roman" w:cs="Times New Roman" w:eastAsia="Times New Roman" w:hAnsi="Times New Roman"/>
          <w:sz w:val="16"/>
          <w:szCs w:val="16"/>
          <w:color w:val="auto"/>
        </w:rPr>
      </w:pPr>
    </w:p>
    <w:p>
      <w:pPr>
        <w:jc w:val="both"/>
        <w:ind w:left="293" w:hanging="293"/>
        <w:spacing w:after="0" w:line="269"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4, 2021, Serve entered into a Series Seed Preferred Stock Purchase Agreement, pursuant to which the Company issued 3,091,672 shares of Serve’s Series Seed Preferred Stock at a price per share of $3.8814, 2,440,411 shares of Serve’s Series Seed-1 Preferred Stock, 2,088,696 shares of Serve’s Series Seed-2 Preferred Stock, and 357,836 shares of Serve’s Series Seed-3 Preferred Stock to stockholders of Serve. Serve raised a total of $12.00 million from the sale of Serve’s Series Seed Preferred Stock. Serve relied upon the exemption from registration provided by Regulation 4(2) under the Securities Act.</w:t>
      </w:r>
    </w:p>
    <w:p>
      <w:pPr>
        <w:spacing w:after="0" w:line="156" w:lineRule="exact"/>
        <w:rPr>
          <w:rFonts w:ascii="Times New Roman" w:cs="Times New Roman" w:eastAsia="Times New Roman" w:hAnsi="Times New Roman"/>
          <w:sz w:val="16"/>
          <w:szCs w:val="16"/>
          <w:color w:val="auto"/>
        </w:rPr>
      </w:pPr>
    </w:p>
    <w:p>
      <w:pPr>
        <w:ind w:left="293" w:hanging="293"/>
        <w:spacing w:after="0" w:line="294"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4, 2021, Serve issued a warrant to purchase 128,819 shares of Serve’s Series Seed Preferred Stock at an exercise price of $3.88 per share. Serve relied upon the exemption from registration provided by Regulation 4(2) under the Securities Act.</w:t>
      </w:r>
    </w:p>
    <w:p>
      <w:pPr>
        <w:spacing w:after="0" w:line="138" w:lineRule="exact"/>
        <w:rPr>
          <w:rFonts w:ascii="Times New Roman" w:cs="Times New Roman" w:eastAsia="Times New Roman" w:hAnsi="Times New Roman"/>
          <w:sz w:val="16"/>
          <w:szCs w:val="16"/>
          <w:color w:val="auto"/>
        </w:rPr>
      </w:pPr>
    </w:p>
    <w:p>
      <w:pPr>
        <w:ind w:left="293" w:hanging="293"/>
        <w:spacing w:after="0" w:line="294"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11, 2021, Serve issued a warrant to purchase 13,911 shares of Serve’s common stock at an exercise price of $3.88 per share. Serve relied upon the exemption from registration provided by Regulation 4(2) under the Securities Act.</w:t>
      </w:r>
    </w:p>
    <w:p>
      <w:pPr>
        <w:spacing w:after="0" w:line="138" w:lineRule="exact"/>
        <w:rPr>
          <w:rFonts w:ascii="Times New Roman" w:cs="Times New Roman" w:eastAsia="Times New Roman" w:hAnsi="Times New Roman"/>
          <w:sz w:val="16"/>
          <w:szCs w:val="16"/>
          <w:color w:val="auto"/>
        </w:rPr>
      </w:pPr>
    </w:p>
    <w:p>
      <w:pPr>
        <w:ind w:left="293" w:hanging="293"/>
        <w:spacing w:after="0" w:line="294"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Between February 4, 2022 and March 9, 2022, Serve issued SAFEs for an aggregate purchase amount of $10.59 million to investors of Serve. Serve relied upon the exemption from registration provided by Regulation 4(2) under the Securities Act.</w:t>
      </w:r>
    </w:p>
    <w:p>
      <w:pPr>
        <w:spacing w:after="0" w:line="138" w:lineRule="exact"/>
        <w:rPr>
          <w:rFonts w:ascii="Times New Roman" w:cs="Times New Roman" w:eastAsia="Times New Roman" w:hAnsi="Times New Roman"/>
          <w:sz w:val="16"/>
          <w:szCs w:val="16"/>
          <w:color w:val="auto"/>
        </w:rPr>
      </w:pPr>
    </w:p>
    <w:p>
      <w:pPr>
        <w:ind w:left="293" w:hanging="293"/>
        <w:spacing w:after="0" w:line="294" w:lineRule="auto"/>
        <w:tabs>
          <w:tab w:leader="none" w:pos="29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 2022, Serve issued a warrant to purchase 40,292 shares of Serve’s common stock at an exercise price of $0.49 per share. Serve relied upon the exemption from registration provided by Regulation 4(2) under the Securities Act.</w:t>
      </w:r>
    </w:p>
    <w:p>
      <w:pPr>
        <w:spacing w:after="0" w:line="335" w:lineRule="exact"/>
        <w:rPr>
          <w:sz w:val="20"/>
          <w:szCs w:val="20"/>
          <w:color w:val="auto"/>
        </w:rPr>
      </w:pPr>
    </w:p>
    <w:p>
      <w:pPr>
        <w:ind w:left="4913"/>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18415</wp:posOffset>
            </wp:positionV>
            <wp:extent cx="7145020"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0653"/>
          </w:cols>
          <w:pgMar w:left="907" w:top="835" w:right="339" w:bottom="1440" w:gutter="0" w:footer="0" w:header="0"/>
        </w:sectPr>
      </w:pPr>
    </w:p>
    <w:bookmarkStart w:id="175" w:name="page176"/>
    <w:bookmarkEnd w:id="175"/>
    <w:p>
      <w:pPr>
        <w:ind w:left="880" w:right="20" w:hanging="293"/>
        <w:spacing w:after="0" w:line="294"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Between December 1, 2022 and January 18, 2023, Serve issued simple agreement for future equity for an aggregate purchase amount of $4.97 million to investors of Serve. Serve relied upon the exemption from registration provided by Regulation 4(2) under the Securities Act.</w:t>
      </w:r>
    </w:p>
    <w:p>
      <w:pPr>
        <w:spacing w:after="0" w:line="138" w:lineRule="exact"/>
        <w:rPr>
          <w:rFonts w:ascii="Times New Roman" w:cs="Times New Roman" w:eastAsia="Times New Roman" w:hAnsi="Times New Roman"/>
          <w:sz w:val="16"/>
          <w:szCs w:val="16"/>
          <w:color w:val="auto"/>
        </w:rPr>
      </w:pPr>
    </w:p>
    <w:p>
      <w:pPr>
        <w:ind w:left="880" w:right="20" w:hanging="293"/>
        <w:spacing w:after="0" w:line="294"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15, 2023, Serve issued options to purchase a total of 255,240 shares of common stock at an exercise price of $0.50 per share to service providers of Serve pursuant to the Serve Plan. Serve relied upon the exemption from registration provided by Rule 701 of the Securities Act.</w:t>
      </w:r>
    </w:p>
    <w:p>
      <w:pPr>
        <w:spacing w:after="0" w:line="138" w:lineRule="exact"/>
        <w:rPr>
          <w:rFonts w:ascii="Times New Roman" w:cs="Times New Roman" w:eastAsia="Times New Roman" w:hAnsi="Times New Roman"/>
          <w:sz w:val="16"/>
          <w:szCs w:val="16"/>
          <w:color w:val="auto"/>
        </w:rPr>
      </w:pPr>
    </w:p>
    <w:p>
      <w:pPr>
        <w:ind w:left="880" w:right="20" w:hanging="293"/>
        <w:spacing w:after="0" w:line="294"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7, 2023, Serve issued options to purchase a total of 510,237 shares of common stock at an exercise price of $0.86 per share to service providers of Serve pursuant to the Serve Plan. Serve relied upon the exemption from registration provided by Rule 701 of the Securities Act.</w:t>
      </w:r>
    </w:p>
    <w:p>
      <w:pPr>
        <w:spacing w:after="0" w:line="138" w:lineRule="exact"/>
        <w:rPr>
          <w:rFonts w:ascii="Times New Roman" w:cs="Times New Roman" w:eastAsia="Times New Roman" w:hAnsi="Times New Roman"/>
          <w:sz w:val="16"/>
          <w:szCs w:val="16"/>
          <w:color w:val="auto"/>
        </w:rPr>
      </w:pPr>
    </w:p>
    <w:p>
      <w:pPr>
        <w:jc w:val="both"/>
        <w:ind w:left="880" w:hanging="293"/>
        <w:spacing w:after="0" w:line="262"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28, 2023, Serve issued the June 2023 Kashani Note to Ali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 The issuance of the June 2023 Kashani Note was exempt from registration under Section 4(a)(2) of the Securities Act and Rule 506(b) of Regulation D promulgated by the SEC thereunder.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Exhibits and Financial Statement Schedules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 Exhibits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exhibit index attached hereto is incorporated herein by reference.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 Financial Statement Schedules</w:t>
      </w:r>
    </w:p>
    <w:p>
      <w:pPr>
        <w:spacing w:after="0" w:line="21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All schedules have been omitted because the information required to be set forth in the schedules is either not applicable or is included in our financial statements or notes to those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Undertakings.</w:t>
      </w:r>
    </w:p>
    <w:p>
      <w:pPr>
        <w:spacing w:after="0" w:line="21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registrant hereby undertakes that:</w:t>
      </w:r>
    </w:p>
    <w:p>
      <w:pPr>
        <w:spacing w:after="0" w:line="209" w:lineRule="exact"/>
        <w:rPr>
          <w:sz w:val="20"/>
          <w:szCs w:val="20"/>
          <w:color w:val="auto"/>
        </w:rPr>
      </w:pPr>
    </w:p>
    <w:p>
      <w:pPr>
        <w:jc w:val="both"/>
        <w:ind w:left="580" w:right="20" w:hanging="287"/>
        <w:spacing w:after="0" w:line="275" w:lineRule="auto"/>
        <w:tabs>
          <w:tab w:leader="none" w:pos="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52" w:lineRule="exact"/>
        <w:rPr>
          <w:rFonts w:ascii="Times New Roman" w:cs="Times New Roman" w:eastAsia="Times New Roman" w:hAnsi="Times New Roman"/>
          <w:sz w:val="16"/>
          <w:szCs w:val="16"/>
          <w:color w:val="auto"/>
        </w:rPr>
      </w:pPr>
    </w:p>
    <w:p>
      <w:pPr>
        <w:jc w:val="both"/>
        <w:ind w:left="580" w:right="20" w:hanging="287"/>
        <w:spacing w:after="0" w:line="275" w:lineRule="auto"/>
        <w:tabs>
          <w:tab w:leader="none" w:pos="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1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680" w:type="dxa"/>
            <w:vAlign w:val="bottom"/>
            <w:gridSpan w:val="13"/>
          </w:tcPr>
          <w:p>
            <w:pPr>
              <w:ind w:left="42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24"/>
                <w:szCs w:val="24"/>
                <w:color w:val="auto"/>
              </w:rPr>
            </w:pPr>
          </w:p>
        </w:tc>
        <w:tc>
          <w:tcPr>
            <w:tcW w:w="1012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40" w:type="dxa"/>
            <w:vAlign w:val="bottom"/>
            <w:tcBorders>
              <w:top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Underwriting Agreement.</w:t>
            </w:r>
          </w:p>
        </w:tc>
        <w:tc>
          <w:tcPr>
            <w:tcW w:w="80" w:type="dxa"/>
            <w:vAlign w:val="bottom"/>
            <w:tcBorders>
              <w:top w:val="single" w:sz="8" w:color="auto"/>
              <w:left w:val="single" w:sz="8" w:color="CCEEFF"/>
            </w:tcBorders>
            <w:shd w:val="clear" w:color="auto" w:fill="CCEEFF"/>
          </w:tcPr>
          <w:p>
            <w:pPr>
              <w:spacing w:after="0"/>
              <w:rPr>
                <w:sz w:val="17"/>
                <w:szCs w:val="17"/>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3"/>
                <w:szCs w:val="13"/>
                <w:color w:val="auto"/>
              </w:rPr>
            </w:pPr>
          </w:p>
        </w:tc>
        <w:tc>
          <w:tcPr>
            <w:tcW w:w="10040" w:type="dxa"/>
            <w:vAlign w:val="bottom"/>
            <w:tcBorders>
              <w:bottom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46">
              <w:r>
                <w:rPr>
                  <w:rFonts w:ascii="Times New Roman" w:cs="Times New Roman" w:eastAsia="Times New Roman" w:hAnsi="Times New Roman"/>
                  <w:sz w:val="16"/>
                  <w:szCs w:val="16"/>
                  <w:color w:val="0000EE"/>
                </w:rPr>
                <w:t>Agreement and Plan of Merger and Reorganization among the Company, Serve Acquisition Corp. and Serve Robotics Inc. (incorporated by reference to</w:t>
              </w:r>
            </w:hyperlink>
          </w:p>
        </w:tc>
        <w:tc>
          <w:tcPr>
            <w:tcW w:w="80" w:type="dxa"/>
            <w:vAlign w:val="bottom"/>
          </w:tcPr>
          <w:p>
            <w:pPr>
              <w:spacing w:after="0"/>
              <w:rPr>
                <w:sz w:val="13"/>
                <w:szCs w:val="13"/>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6"/>
          </w:tcPr>
          <w:p>
            <w:pPr>
              <w:spacing w:after="0" w:line="177" w:lineRule="exact"/>
              <w:rPr>
                <w:rFonts w:ascii="Times New Roman" w:cs="Times New Roman" w:eastAsia="Times New Roman" w:hAnsi="Times New Roman"/>
                <w:sz w:val="16"/>
                <w:szCs w:val="16"/>
                <w:color w:val="0000EE"/>
              </w:rPr>
            </w:pPr>
            <w:hyperlink r:id="rId246">
              <w:r>
                <w:rPr>
                  <w:rFonts w:ascii="Times New Roman" w:cs="Times New Roman" w:eastAsia="Times New Roman" w:hAnsi="Times New Roman"/>
                  <w:sz w:val="16"/>
                  <w:szCs w:val="16"/>
                  <w:color w:val="0000EE"/>
                </w:rPr>
                <w:t>Exhibit 2.1 to the Current Report on Form 8-K filed with the SEC on August 4,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47">
              <w:r>
                <w:rPr>
                  <w:rFonts w:ascii="Times New Roman" w:cs="Times New Roman" w:eastAsia="Times New Roman" w:hAnsi="Times New Roman"/>
                  <w:sz w:val="16"/>
                  <w:szCs w:val="16"/>
                  <w:color w:val="0000EE"/>
                </w:rPr>
                <w:t>Certificate of Merger relating to the merger of Serve Acquisition Corp. with and into Serve Robotics Inc., filed with the Secretary of State of the State of</w:t>
              </w:r>
            </w:hyperlink>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r>
      <w:tr>
        <w:trPr>
          <w:trHeight w:val="176"/>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47">
              <w:r>
                <w:rPr>
                  <w:rFonts w:ascii="Times New Roman" w:cs="Times New Roman" w:eastAsia="Times New Roman" w:hAnsi="Times New Roman"/>
                  <w:sz w:val="16"/>
                  <w:szCs w:val="16"/>
                  <w:color w:val="0000EE"/>
                </w:rPr>
                <w:t>Delaware on July 31, 2023 (incorporated by reference to Exhibit 3.1 to the Current Report on Form 8-K filed with the SEC on August 4, 2023).</w:t>
              </w:r>
            </w:hyperlink>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3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40" w:type="dxa"/>
            <w:vAlign w:val="bottom"/>
            <w:shd w:val="clear" w:color="auto" w:fill="0000EE"/>
          </w:tcPr>
          <w:p>
            <w:pPr>
              <w:spacing w:after="0"/>
              <w:rPr>
                <w:sz w:val="3"/>
                <w:szCs w:val="3"/>
                <w:color w:val="auto"/>
              </w:rPr>
            </w:pPr>
          </w:p>
        </w:tc>
        <w:tc>
          <w:tcPr>
            <w:tcW w:w="1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3"/>
                <w:szCs w:val="13"/>
                <w:color w:val="auto"/>
              </w:rPr>
            </w:pPr>
          </w:p>
        </w:tc>
        <w:tc>
          <w:tcPr>
            <w:tcW w:w="10040" w:type="dxa"/>
            <w:vAlign w:val="bottom"/>
            <w:tcBorders>
              <w:bottom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48">
              <w:r>
                <w:rPr>
                  <w:rFonts w:ascii="Times New Roman" w:cs="Times New Roman" w:eastAsia="Times New Roman" w:hAnsi="Times New Roman"/>
                  <w:sz w:val="16"/>
                  <w:szCs w:val="16"/>
                  <w:color w:val="0000EE"/>
                </w:rPr>
                <w:t>Amended and Restated Certificate of Incorporation, filed with the Secretary of State of the State of Delaware on July 31, 2023 (incorporated by reference</w:t>
              </w:r>
            </w:hyperlink>
          </w:p>
        </w:tc>
        <w:tc>
          <w:tcPr>
            <w:tcW w:w="80" w:type="dxa"/>
            <w:vAlign w:val="bottom"/>
            <w:tcBorders>
              <w:bottom w:val="single" w:sz="8" w:color="0000EE"/>
            </w:tcBorders>
          </w:tcPr>
          <w:p>
            <w:pPr>
              <w:spacing w:after="0"/>
              <w:rPr>
                <w:sz w:val="13"/>
                <w:szCs w:val="13"/>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6"/>
          </w:tcPr>
          <w:p>
            <w:pPr>
              <w:spacing w:after="0" w:line="177" w:lineRule="exact"/>
              <w:rPr>
                <w:rFonts w:ascii="Times New Roman" w:cs="Times New Roman" w:eastAsia="Times New Roman" w:hAnsi="Times New Roman"/>
                <w:sz w:val="16"/>
                <w:szCs w:val="16"/>
                <w:color w:val="0000EE"/>
              </w:rPr>
            </w:pPr>
            <w:hyperlink r:id="rId248">
              <w:r>
                <w:rPr>
                  <w:rFonts w:ascii="Times New Roman" w:cs="Times New Roman" w:eastAsia="Times New Roman" w:hAnsi="Times New Roman"/>
                  <w:sz w:val="16"/>
                  <w:szCs w:val="16"/>
                  <w:color w:val="0000EE"/>
                </w:rPr>
                <w:t>to Exhibit 3.2 to the Current Report on Form 8-K filed with the SEC on August 4,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49">
              <w:r>
                <w:rPr>
                  <w:rFonts w:ascii="Times New Roman" w:cs="Times New Roman" w:eastAsia="Times New Roman" w:hAnsi="Times New Roman"/>
                  <w:sz w:val="16"/>
                  <w:szCs w:val="16"/>
                  <w:color w:val="0000EE"/>
                </w:rPr>
                <w:t>Amended and Restated Bylaws (incorporated by reference to Exhibit 3.3 to the Current Report on Form 8-K filed with the SEC on August 4, 2023).</w:t>
              </w:r>
            </w:hyperlink>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3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40" w:type="dxa"/>
            <w:vAlign w:val="bottom"/>
            <w:shd w:val="clear" w:color="auto" w:fill="0000EE"/>
          </w:tcPr>
          <w:p>
            <w:pPr>
              <w:spacing w:after="0"/>
              <w:rPr>
                <w:sz w:val="3"/>
                <w:szCs w:val="3"/>
                <w:color w:val="auto"/>
              </w:rPr>
            </w:pPr>
          </w:p>
        </w:tc>
        <w:tc>
          <w:tcPr>
            <w:tcW w:w="1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CCEEFF"/>
            </w:tcBorders>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3"/>
                <w:szCs w:val="13"/>
                <w:color w:val="auto"/>
              </w:rPr>
            </w:pPr>
          </w:p>
        </w:tc>
        <w:tc>
          <w:tcPr>
            <w:tcW w:w="10040" w:type="dxa"/>
            <w:vAlign w:val="bottom"/>
            <w:gridSpan w:val="15"/>
          </w:tcPr>
          <w:p>
            <w:pPr>
              <w:spacing w:after="0" w:line="160" w:lineRule="exact"/>
              <w:rPr>
                <w:rFonts w:ascii="Times New Roman" w:cs="Times New Roman" w:eastAsia="Times New Roman" w:hAnsi="Times New Roman"/>
                <w:sz w:val="16"/>
                <w:szCs w:val="16"/>
                <w:color w:val="0000EE"/>
              </w:rPr>
            </w:pPr>
            <w:hyperlink r:id="rId250">
              <w:r>
                <w:rPr>
                  <w:rFonts w:ascii="Times New Roman" w:cs="Times New Roman" w:eastAsia="Times New Roman" w:hAnsi="Times New Roman"/>
                  <w:sz w:val="16"/>
                  <w:szCs w:val="16"/>
                  <w:color w:val="0000EE"/>
                </w:rPr>
                <w:t>Form of Bridge Warrant (incorporated by reference to Exhibit 4.1 to the Current Report on Form 8-K filed with the SEC on August 4, 2023).</w:t>
              </w:r>
            </w:hyperlink>
          </w:p>
        </w:tc>
        <w:tc>
          <w:tcPr>
            <w:tcW w:w="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51">
              <w:r>
                <w:rPr>
                  <w:rFonts w:ascii="Times New Roman" w:cs="Times New Roman" w:eastAsia="Times New Roman" w:hAnsi="Times New Roman"/>
                  <w:sz w:val="16"/>
                  <w:szCs w:val="16"/>
                  <w:color w:val="0000EE"/>
                </w:rPr>
                <w:t>Form of Bridge Broker Warrant (incorporated by reference to Exhibit 4.2 to the Current Report on Form 8-K filed with the SEC on August 4, 2023).</w:t>
              </w:r>
            </w:hyperlink>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3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40" w:type="dxa"/>
            <w:vAlign w:val="bottom"/>
            <w:shd w:val="clear" w:color="auto" w:fill="0000EE"/>
          </w:tcPr>
          <w:p>
            <w:pPr>
              <w:spacing w:after="0"/>
              <w:rPr>
                <w:sz w:val="3"/>
                <w:szCs w:val="3"/>
                <w:color w:val="auto"/>
              </w:rPr>
            </w:pPr>
          </w:p>
        </w:tc>
        <w:tc>
          <w:tcPr>
            <w:tcW w:w="1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3"/>
                <w:szCs w:val="13"/>
                <w:color w:val="auto"/>
              </w:rPr>
            </w:pPr>
          </w:p>
        </w:tc>
        <w:tc>
          <w:tcPr>
            <w:tcW w:w="10040" w:type="dxa"/>
            <w:vAlign w:val="bottom"/>
            <w:gridSpan w:val="15"/>
          </w:tcPr>
          <w:p>
            <w:pPr>
              <w:spacing w:after="0" w:line="160" w:lineRule="exact"/>
              <w:rPr>
                <w:rFonts w:ascii="Times New Roman" w:cs="Times New Roman" w:eastAsia="Times New Roman" w:hAnsi="Times New Roman"/>
                <w:sz w:val="16"/>
                <w:szCs w:val="16"/>
                <w:color w:val="0000EE"/>
              </w:rPr>
            </w:pPr>
            <w:hyperlink r:id="rId252">
              <w:r>
                <w:rPr>
                  <w:rFonts w:ascii="Times New Roman" w:cs="Times New Roman" w:eastAsia="Times New Roman" w:hAnsi="Times New Roman"/>
                  <w:sz w:val="16"/>
                  <w:szCs w:val="16"/>
                  <w:color w:val="0000EE"/>
                </w:rPr>
                <w:t>Form of Placement Agent A Warrant (incorporated by reference to Exhibit 4.3 to the Current Report on Form 8-K filed with the SEC on August 4, 2023).</w:t>
              </w:r>
            </w:hyperlink>
          </w:p>
        </w:tc>
        <w:tc>
          <w:tcPr>
            <w:tcW w:w="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53">
              <w:r>
                <w:rPr>
                  <w:rFonts w:ascii="Times New Roman" w:cs="Times New Roman" w:eastAsia="Times New Roman" w:hAnsi="Times New Roman"/>
                  <w:sz w:val="16"/>
                  <w:szCs w:val="16"/>
                  <w:color w:val="0000EE"/>
                </w:rPr>
                <w:t>Form of Placement Agent B Warrant (incorporated by reference to Exhibit 4.4 to the Current Report on Form 8-K filed with the SEC on August 4, 2023).</w:t>
              </w:r>
            </w:hyperlink>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3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40" w:type="dxa"/>
            <w:vAlign w:val="bottom"/>
            <w:shd w:val="clear" w:color="auto" w:fill="0000EE"/>
          </w:tcPr>
          <w:p>
            <w:pPr>
              <w:spacing w:after="0"/>
              <w:rPr>
                <w:sz w:val="3"/>
                <w:szCs w:val="3"/>
                <w:color w:val="auto"/>
              </w:rPr>
            </w:pPr>
          </w:p>
        </w:tc>
        <w:tc>
          <w:tcPr>
            <w:tcW w:w="1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3"/>
                <w:szCs w:val="13"/>
                <w:color w:val="auto"/>
              </w:rPr>
            </w:pPr>
          </w:p>
        </w:tc>
        <w:tc>
          <w:tcPr>
            <w:tcW w:w="10040" w:type="dxa"/>
            <w:vAlign w:val="bottom"/>
            <w:tcBorders>
              <w:bottom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54">
              <w:r>
                <w:rPr>
                  <w:rFonts w:ascii="Times New Roman" w:cs="Times New Roman" w:eastAsia="Times New Roman" w:hAnsi="Times New Roman"/>
                  <w:sz w:val="16"/>
                  <w:szCs w:val="16"/>
                  <w:color w:val="0000EE"/>
                </w:rPr>
                <w:t>Form of Secured Subordinated Promissory Note (incorporated by reference to Exhibit 4.1 to the Current Report on Form 8-K filed with the SEC on</w:t>
              </w:r>
            </w:hyperlink>
          </w:p>
        </w:tc>
        <w:tc>
          <w:tcPr>
            <w:tcW w:w="80" w:type="dxa"/>
            <w:vAlign w:val="bottom"/>
            <w:tcBorders>
              <w:bottom w:val="single" w:sz="8" w:color="0000EE"/>
            </w:tcBorders>
          </w:tcPr>
          <w:p>
            <w:pPr>
              <w:spacing w:after="0"/>
              <w:rPr>
                <w:sz w:val="13"/>
                <w:szCs w:val="13"/>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6"/>
          </w:tcPr>
          <w:p>
            <w:pPr>
              <w:spacing w:after="0" w:line="177" w:lineRule="exact"/>
              <w:rPr>
                <w:rFonts w:ascii="Times New Roman" w:cs="Times New Roman" w:eastAsia="Times New Roman" w:hAnsi="Times New Roman"/>
                <w:sz w:val="16"/>
                <w:szCs w:val="16"/>
                <w:color w:val="0000EE"/>
              </w:rPr>
            </w:pPr>
            <w:hyperlink r:id="rId254">
              <w:r>
                <w:rPr>
                  <w:rFonts w:ascii="Times New Roman" w:cs="Times New Roman" w:eastAsia="Times New Roman" w:hAnsi="Times New Roman"/>
                  <w:sz w:val="16"/>
                  <w:szCs w:val="16"/>
                  <w:color w:val="0000EE"/>
                </w:rPr>
                <w:t>January 3,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55">
              <w:r>
                <w:rPr>
                  <w:rFonts w:ascii="Times New Roman" w:cs="Times New Roman" w:eastAsia="Times New Roman" w:hAnsi="Times New Roman"/>
                  <w:sz w:val="16"/>
                  <w:szCs w:val="16"/>
                  <w:color w:val="0000EE"/>
                </w:rPr>
                <w:t>Form of Convertible Promissory Note (incorporated by reference to Exhibit 4.2 to the Current Report on Form 8-K filed with the SEC on January 3,</w:t>
              </w:r>
            </w:hyperlink>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r>
      <w:tr>
        <w:trPr>
          <w:trHeight w:val="176"/>
        </w:trPr>
        <w:tc>
          <w:tcPr>
            <w:tcW w:w="10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ind w:left="100"/>
              <w:spacing w:after="0" w:line="177" w:lineRule="exact"/>
              <w:rPr>
                <w:rFonts w:ascii="Times New Roman" w:cs="Times New Roman" w:eastAsia="Times New Roman" w:hAnsi="Times New Roman"/>
                <w:sz w:val="16"/>
                <w:szCs w:val="16"/>
                <w:color w:val="0000EE"/>
              </w:rPr>
            </w:pPr>
            <w:hyperlink r:id="rId255">
              <w:r>
                <w:rPr>
                  <w:rFonts w:ascii="Times New Roman" w:cs="Times New Roman" w:eastAsia="Times New Roman" w:hAnsi="Times New Roman"/>
                  <w:sz w:val="16"/>
                  <w:szCs w:val="16"/>
                  <w:color w:val="0000EE"/>
                </w:rPr>
                <w:t>2024).</w:t>
              </w:r>
            </w:hyperlink>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3"/>
                <w:szCs w:val="13"/>
                <w:color w:val="auto"/>
              </w:rPr>
            </w:pPr>
          </w:p>
        </w:tc>
        <w:tc>
          <w:tcPr>
            <w:tcW w:w="10040" w:type="dxa"/>
            <w:vAlign w:val="bottom"/>
            <w:tcBorders>
              <w:bottom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56">
              <w:r>
                <w:rPr>
                  <w:rFonts w:ascii="Times New Roman" w:cs="Times New Roman" w:eastAsia="Times New Roman" w:hAnsi="Times New Roman"/>
                  <w:sz w:val="16"/>
                  <w:szCs w:val="16"/>
                  <w:color w:val="0000EE"/>
                </w:rPr>
                <w:t>Common Stock Warrant, dated February 7, 2024, issued by Serve Robotics Inc. to Magna New Mobility USA, Inc. (incorporated by reference to Exhibit</w:t>
              </w:r>
            </w:hyperlink>
          </w:p>
        </w:tc>
        <w:tc>
          <w:tcPr>
            <w:tcW w:w="80" w:type="dxa"/>
            <w:vAlign w:val="bottom"/>
            <w:tcBorders>
              <w:bottom w:val="single" w:sz="8" w:color="0000EE"/>
            </w:tcBorders>
          </w:tcPr>
          <w:p>
            <w:pPr>
              <w:spacing w:after="0"/>
              <w:rPr>
                <w:sz w:val="13"/>
                <w:szCs w:val="13"/>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6"/>
          </w:tcPr>
          <w:p>
            <w:pPr>
              <w:spacing w:after="0" w:line="177" w:lineRule="exact"/>
              <w:rPr>
                <w:rFonts w:ascii="Times New Roman" w:cs="Times New Roman" w:eastAsia="Times New Roman" w:hAnsi="Times New Roman"/>
                <w:sz w:val="16"/>
                <w:szCs w:val="16"/>
                <w:color w:val="0000EE"/>
              </w:rPr>
            </w:pPr>
            <w:hyperlink r:id="rId25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w:t>
              </w:r>
              <w:r>
                <w:rPr>
                  <w:rFonts w:ascii="Times New Roman" w:cs="Times New Roman" w:eastAsia="Times New Roman" w:hAnsi="Times New Roman"/>
                  <w:sz w:val="16"/>
                  <w:szCs w:val="16"/>
                  <w:color w:val="0000EE"/>
                </w:rPr>
                <w:t xml:space="preserve"> to the Current Report on Form 8-K filed with the SEC on February 7,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right w:val="single" w:sz="8" w:color="CCEEFF"/>
            </w:tcBorders>
            <w:shd w:val="clear" w:color="auto" w:fill="CCEEFF"/>
          </w:tcPr>
          <w:p>
            <w:pPr>
              <w:spacing w:after="0"/>
              <w:rPr>
                <w:sz w:val="18"/>
                <w:szCs w:val="18"/>
                <w:color w:val="auto"/>
              </w:rPr>
            </w:pPr>
          </w:p>
        </w:tc>
        <w:tc>
          <w:tcPr>
            <w:tcW w:w="10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Specimen Stock Certificate evidencing the shares of common stock.</w:t>
            </w:r>
          </w:p>
        </w:tc>
        <w:tc>
          <w:tcPr>
            <w:tcW w:w="80" w:type="dxa"/>
            <w:vAlign w:val="bottom"/>
            <w:tcBorders>
              <w:left w:val="single" w:sz="8" w:color="CCEEFF"/>
            </w:tcBorders>
            <w:shd w:val="clear" w:color="auto" w:fill="CCEEFF"/>
          </w:tcPr>
          <w:p>
            <w:pPr>
              <w:spacing w:after="0"/>
              <w:rPr>
                <w:sz w:val="18"/>
                <w:szCs w:val="18"/>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c>
          <w:tcPr>
            <w:tcW w:w="100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Opinion of Orrick, Herrington &amp; Sutcliffe LLP.</w:t>
            </w:r>
          </w:p>
        </w:tc>
        <w:tc>
          <w:tcPr>
            <w:tcW w:w="80" w:type="dxa"/>
            <w:vAlign w:val="bottom"/>
          </w:tcPr>
          <w:p>
            <w:pPr>
              <w:spacing w:after="0"/>
              <w:rPr>
                <w:sz w:val="17"/>
                <w:szCs w:val="17"/>
                <w:color w:val="auto"/>
              </w:rPr>
            </w:pPr>
          </w:p>
        </w:tc>
      </w:tr>
      <w:tr>
        <w:trPr>
          <w:trHeight w:val="160"/>
        </w:trPr>
        <w:tc>
          <w:tcPr>
            <w:tcW w:w="1020" w:type="dxa"/>
            <w:vAlign w:val="bottom"/>
            <w:tcBorders>
              <w:bottom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10040" w:type="dxa"/>
            <w:vAlign w:val="bottom"/>
            <w:tcBorders>
              <w:bottom w:val="single" w:sz="8" w:color="0000EE"/>
            </w:tcBorders>
            <w:gridSpan w:val="15"/>
            <w:shd w:val="clear" w:color="auto" w:fill="CCEEFF"/>
          </w:tcPr>
          <w:p>
            <w:pPr>
              <w:spacing w:after="0" w:line="160" w:lineRule="exact"/>
              <w:rPr>
                <w:rFonts w:ascii="Times New Roman" w:cs="Times New Roman" w:eastAsia="Times New Roman" w:hAnsi="Times New Roman"/>
                <w:sz w:val="16"/>
                <w:szCs w:val="16"/>
                <w:color w:val="0000EE"/>
              </w:rPr>
            </w:pPr>
            <w:hyperlink r:id="rId257">
              <w:r>
                <w:rPr>
                  <w:rFonts w:ascii="Times New Roman" w:cs="Times New Roman" w:eastAsia="Times New Roman" w:hAnsi="Times New Roman"/>
                  <w:sz w:val="16"/>
                  <w:szCs w:val="16"/>
                  <w:color w:val="0000EE"/>
                </w:rPr>
                <w:t>Offer Letter, dated as of March 1, 2021, by and between Touraj Parang and the Company (incorporated by reference to Exhibit 10.1 to the Current Report</w:t>
              </w:r>
            </w:hyperlink>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76"/>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57">
              <w:r>
                <w:rPr>
                  <w:rFonts w:ascii="Times New Roman" w:cs="Times New Roman" w:eastAsia="Times New Roman" w:hAnsi="Times New Roman"/>
                  <w:sz w:val="16"/>
                  <w:szCs w:val="16"/>
                  <w:color w:val="0000EE"/>
                </w:rPr>
                <w:t>on Form 8-K filed with the SEC on August 4, 2023).</w:t>
              </w:r>
            </w:hyperlink>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320" w:type="dxa"/>
            <w:vAlign w:val="bottom"/>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3"/>
                <w:szCs w:val="13"/>
                <w:color w:val="auto"/>
              </w:rPr>
            </w:pPr>
          </w:p>
        </w:tc>
        <w:tc>
          <w:tcPr>
            <w:tcW w:w="10040" w:type="dxa"/>
            <w:vAlign w:val="bottom"/>
            <w:tcBorders>
              <w:bottom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58">
              <w:r>
                <w:rPr>
                  <w:rFonts w:ascii="Times New Roman" w:cs="Times New Roman" w:eastAsia="Times New Roman" w:hAnsi="Times New Roman"/>
                  <w:sz w:val="16"/>
                  <w:szCs w:val="16"/>
                  <w:color w:val="0000EE"/>
                </w:rPr>
                <w:t>Offer Letter, dated as of October 7, 2021, by and between Euan Abraham and the Company (incorporated by reference to Exhibit 10.2 to the Current</w:t>
              </w:r>
            </w:hyperlink>
          </w:p>
        </w:tc>
        <w:tc>
          <w:tcPr>
            <w:tcW w:w="80" w:type="dxa"/>
            <w:vAlign w:val="bottom"/>
          </w:tcPr>
          <w:p>
            <w:pPr>
              <w:spacing w:after="0"/>
              <w:rPr>
                <w:sz w:val="13"/>
                <w:szCs w:val="13"/>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6"/>
          </w:tcPr>
          <w:p>
            <w:pPr>
              <w:spacing w:after="0" w:line="177" w:lineRule="exact"/>
              <w:rPr>
                <w:rFonts w:ascii="Times New Roman" w:cs="Times New Roman" w:eastAsia="Times New Roman" w:hAnsi="Times New Roman"/>
                <w:sz w:val="16"/>
                <w:szCs w:val="16"/>
                <w:color w:val="0000EE"/>
              </w:rPr>
            </w:pPr>
            <w:hyperlink r:id="rId258">
              <w:r>
                <w:rPr>
                  <w:rFonts w:ascii="Times New Roman" w:cs="Times New Roman" w:eastAsia="Times New Roman" w:hAnsi="Times New Roman"/>
                  <w:sz w:val="16"/>
                  <w:szCs w:val="16"/>
                  <w:color w:val="0000EE"/>
                </w:rPr>
                <w:t>Report on Form 8-K filed with the SEC on August 4,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59">
              <w:r>
                <w:rPr>
                  <w:rFonts w:ascii="Times New Roman" w:cs="Times New Roman" w:eastAsia="Times New Roman" w:hAnsi="Times New Roman"/>
                  <w:sz w:val="16"/>
                  <w:szCs w:val="16"/>
                  <w:color w:val="0000EE"/>
                </w:rPr>
                <w:t>Engagement Letter, dated as of May 18, 2023, by and between AKW Financial, LLC dba Vision Accounting &amp; Tax (VAT) and the Company</w:t>
              </w:r>
            </w:hyperlink>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r>
      <w:tr>
        <w:trPr>
          <w:trHeight w:val="176"/>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59">
              <w:r>
                <w:rPr>
                  <w:rFonts w:ascii="Times New Roman" w:cs="Times New Roman" w:eastAsia="Times New Roman" w:hAnsi="Times New Roman"/>
                  <w:sz w:val="16"/>
                  <w:szCs w:val="16"/>
                  <w:color w:val="0000EE"/>
                </w:rPr>
                <w:t>(incorporated by reference to Exhibit 10.3 to the Current Report on Form 8-K filed with the SEC on August 4, 2023).</w:t>
              </w:r>
            </w:hyperlink>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3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40" w:type="dxa"/>
            <w:vAlign w:val="bottom"/>
            <w:shd w:val="clear" w:color="auto" w:fill="0000EE"/>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3"/>
                <w:szCs w:val="13"/>
                <w:color w:val="auto"/>
              </w:rPr>
            </w:pPr>
          </w:p>
        </w:tc>
        <w:tc>
          <w:tcPr>
            <w:tcW w:w="10040" w:type="dxa"/>
            <w:vAlign w:val="bottom"/>
            <w:tcBorders>
              <w:bottom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60">
              <w:r>
                <w:rPr>
                  <w:rFonts w:ascii="Times New Roman" w:cs="Times New Roman" w:eastAsia="Times New Roman" w:hAnsi="Times New Roman"/>
                  <w:sz w:val="16"/>
                  <w:szCs w:val="16"/>
                  <w:color w:val="0000EE"/>
                </w:rPr>
                <w:t>Parang Termination Payment Letter, dated as of June 23, 2021, by and between Touraj Parang and the Company (incorporated by reference to Exhibit</w:t>
              </w:r>
            </w:hyperlink>
          </w:p>
        </w:tc>
        <w:tc>
          <w:tcPr>
            <w:tcW w:w="80" w:type="dxa"/>
            <w:vAlign w:val="bottom"/>
            <w:tcBorders>
              <w:bottom w:val="single" w:sz="8" w:color="0000EE"/>
            </w:tcBorders>
          </w:tcPr>
          <w:p>
            <w:pPr>
              <w:spacing w:after="0"/>
              <w:rPr>
                <w:sz w:val="13"/>
                <w:szCs w:val="13"/>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6"/>
          </w:tcPr>
          <w:p>
            <w:pPr>
              <w:spacing w:after="0" w:line="177" w:lineRule="exact"/>
              <w:rPr>
                <w:rFonts w:ascii="Times New Roman" w:cs="Times New Roman" w:eastAsia="Times New Roman" w:hAnsi="Times New Roman"/>
                <w:sz w:val="16"/>
                <w:szCs w:val="16"/>
                <w:color w:val="0000EE"/>
              </w:rPr>
            </w:pPr>
            <w:hyperlink r:id="rId26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4</w:t>
              </w:r>
              <w:r>
                <w:rPr>
                  <w:rFonts w:ascii="Times New Roman" w:cs="Times New Roman" w:eastAsia="Times New Roman" w:hAnsi="Times New Roman"/>
                  <w:sz w:val="16"/>
                  <w:szCs w:val="16"/>
                  <w:color w:val="0000EE"/>
                </w:rPr>
                <w:t xml:space="preserve"> to the Current Report on Form 8-K filed with the SEC on August 4,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61">
              <w:r>
                <w:rPr>
                  <w:rFonts w:ascii="Times New Roman" w:cs="Times New Roman" w:eastAsia="Times New Roman" w:hAnsi="Times New Roman"/>
                  <w:sz w:val="16"/>
                  <w:szCs w:val="16"/>
                  <w:color w:val="0000EE"/>
                </w:rPr>
                <w:t>Kashani Termination Payment Letter, dated as of September 27, 2021, by and between Ali Kashani and the Company (incorporated by reference to</w:t>
              </w:r>
            </w:hyperlink>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r>
      <w:tr>
        <w:trPr>
          <w:trHeight w:val="176"/>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61">
              <w:r>
                <w:rPr>
                  <w:rFonts w:ascii="Times New Roman" w:cs="Times New Roman" w:eastAsia="Times New Roman" w:hAnsi="Times New Roman"/>
                  <w:sz w:val="16"/>
                  <w:szCs w:val="16"/>
                  <w:color w:val="0000EE"/>
                </w:rPr>
                <w:t>Exhibit 10.5 to the Current Report on Form 8-K filed with the SEC on August 4, 2023).</w:t>
              </w:r>
            </w:hyperlink>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3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3"/>
                <w:szCs w:val="13"/>
                <w:color w:val="auto"/>
              </w:rPr>
            </w:pPr>
          </w:p>
        </w:tc>
        <w:tc>
          <w:tcPr>
            <w:tcW w:w="10040" w:type="dxa"/>
            <w:vAlign w:val="bottom"/>
            <w:tcBorders>
              <w:bottom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62">
              <w:r>
                <w:rPr>
                  <w:rFonts w:ascii="Times New Roman" w:cs="Times New Roman" w:eastAsia="Times New Roman" w:hAnsi="Times New Roman"/>
                  <w:sz w:val="16"/>
                  <w:szCs w:val="16"/>
                  <w:color w:val="0000EE"/>
                </w:rPr>
                <w:t>Lease Agreement, dated as of February 25, 2021, by and between Bauen Fund 2018-730, LLC and the Company (incorporated by reference to Exhibit</w:t>
              </w:r>
            </w:hyperlink>
          </w:p>
        </w:tc>
        <w:tc>
          <w:tcPr>
            <w:tcW w:w="80" w:type="dxa"/>
            <w:vAlign w:val="bottom"/>
          </w:tcPr>
          <w:p>
            <w:pPr>
              <w:spacing w:after="0"/>
              <w:rPr>
                <w:sz w:val="13"/>
                <w:szCs w:val="13"/>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6"/>
          </w:tcPr>
          <w:p>
            <w:pPr>
              <w:spacing w:after="0" w:line="177" w:lineRule="exact"/>
              <w:rPr>
                <w:rFonts w:ascii="Times New Roman" w:cs="Times New Roman" w:eastAsia="Times New Roman" w:hAnsi="Times New Roman"/>
                <w:sz w:val="16"/>
                <w:szCs w:val="16"/>
                <w:color w:val="0000EE"/>
              </w:rPr>
            </w:pPr>
            <w:hyperlink r:id="rId26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6</w:t>
              </w:r>
              <w:r>
                <w:rPr>
                  <w:rFonts w:ascii="Times New Roman" w:cs="Times New Roman" w:eastAsia="Times New Roman" w:hAnsi="Times New Roman"/>
                  <w:sz w:val="16"/>
                  <w:szCs w:val="16"/>
                  <w:color w:val="0000EE"/>
                </w:rPr>
                <w:t xml:space="preserve"> to the Current Report on Form 8-K filed with the SEC on August 4,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63">
              <w:r>
                <w:rPr>
                  <w:rFonts w:ascii="Times New Roman" w:cs="Times New Roman" w:eastAsia="Times New Roman" w:hAnsi="Times New Roman"/>
                  <w:sz w:val="16"/>
                  <w:szCs w:val="16"/>
                  <w:color w:val="0000EE"/>
                </w:rPr>
                <w:t>Contribution Agreement, dated as of February 24, 2021, by and between Postmates, LLC and the Company (incorporated by reference to Exhibit 10.7 to</w:t>
              </w:r>
            </w:hyperlink>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r>
      <w:tr>
        <w:trPr>
          <w:trHeight w:val="176"/>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40" w:type="dxa"/>
            <w:vAlign w:val="bottom"/>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263">
              <w:r>
                <w:rPr>
                  <w:rFonts w:ascii="Times New Roman" w:cs="Times New Roman" w:eastAsia="Times New Roman" w:hAnsi="Times New Roman"/>
                  <w:sz w:val="16"/>
                  <w:szCs w:val="16"/>
                  <w:color w:val="0000EE"/>
                </w:rPr>
                <w:t>the Current Report on Form 8-K filed with the SEC on August 4, 2023).</w:t>
              </w:r>
            </w:hyperlink>
          </w:p>
        </w:tc>
        <w:tc>
          <w:tcPr>
            <w:tcW w:w="80" w:type="dxa"/>
            <w:vAlign w:val="bottom"/>
            <w:tcBorders>
              <w:left w:val="single" w:sz="8" w:color="CCEEFF"/>
            </w:tcBorders>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3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r>
    </w:tbl>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831" w:right="3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10.8#</w:t>
            </w:r>
          </w:p>
        </w:tc>
        <w:tc>
          <w:tcPr>
            <w:tcW w:w="1012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6"/>
                <w:szCs w:val="16"/>
                <w:color w:val="0000EE"/>
              </w:rPr>
            </w:pPr>
            <w:hyperlink r:id="rId265">
              <w:r>
                <w:rPr>
                  <w:rFonts w:ascii="Times New Roman" w:cs="Times New Roman" w:eastAsia="Times New Roman" w:hAnsi="Times New Roman"/>
                  <w:sz w:val="16"/>
                  <w:szCs w:val="16"/>
                  <w:color w:val="0000EE"/>
                </w:rPr>
                <w:t>Amended and Restated Side Letter to the Contribution Agreement, dated as of January 12, 2023, by and between Postmates, LLC and the Company</w:t>
              </w:r>
            </w:hyperlink>
          </w:p>
        </w:tc>
      </w:tr>
      <w:tr>
        <w:trPr>
          <w:trHeight w:val="176"/>
        </w:trPr>
        <w:tc>
          <w:tcPr>
            <w:tcW w:w="1120" w:type="dxa"/>
            <w:vAlign w:val="bottom"/>
            <w:shd w:val="clear" w:color="auto" w:fill="CCEEFF"/>
          </w:tcPr>
          <w:p>
            <w:pPr>
              <w:spacing w:after="0"/>
              <w:rPr>
                <w:sz w:val="15"/>
                <w:szCs w:val="15"/>
                <w:color w:val="auto"/>
              </w:rPr>
            </w:pPr>
          </w:p>
        </w:tc>
        <w:tc>
          <w:tcPr>
            <w:tcW w:w="10120" w:type="dxa"/>
            <w:vAlign w:val="bottom"/>
            <w:gridSpan w:val="12"/>
            <w:shd w:val="clear" w:color="auto" w:fill="CCEEFF"/>
          </w:tcPr>
          <w:p>
            <w:pPr>
              <w:spacing w:after="0" w:line="177" w:lineRule="exact"/>
              <w:rPr>
                <w:rFonts w:ascii="Times New Roman" w:cs="Times New Roman" w:eastAsia="Times New Roman" w:hAnsi="Times New Roman"/>
                <w:sz w:val="16"/>
                <w:szCs w:val="16"/>
                <w:color w:val="0000EE"/>
              </w:rPr>
            </w:pPr>
            <w:hyperlink r:id="rId265">
              <w:r>
                <w:rPr>
                  <w:rFonts w:ascii="Times New Roman" w:cs="Times New Roman" w:eastAsia="Times New Roman" w:hAnsi="Times New Roman"/>
                  <w:sz w:val="16"/>
                  <w:szCs w:val="16"/>
                  <w:color w:val="0000EE"/>
                </w:rPr>
                <w:t>(incorporated by reference to Exhibit 10.8 to Amendment No. 2 to the Registration Statement on Form S-1 filed with the SEC on November 28, 2023).</w:t>
              </w:r>
            </w:hyperlink>
          </w:p>
        </w:tc>
      </w:tr>
      <w:tr>
        <w:trPr>
          <w:trHeight w:val="37"/>
        </w:trPr>
        <w:tc>
          <w:tcPr>
            <w:tcW w:w="1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18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10.9#</w:t>
            </w:r>
          </w:p>
        </w:tc>
        <w:tc>
          <w:tcPr>
            <w:tcW w:w="10120" w:type="dxa"/>
            <w:vAlign w:val="bottom"/>
            <w:tcBorders>
              <w:bottom w:val="single" w:sz="8" w:color="0000EE"/>
            </w:tcBorders>
            <w:gridSpan w:val="12"/>
          </w:tcPr>
          <w:p>
            <w:pPr>
              <w:spacing w:after="0" w:line="160" w:lineRule="exact"/>
              <w:rPr>
                <w:rFonts w:ascii="Times New Roman" w:cs="Times New Roman" w:eastAsia="Times New Roman" w:hAnsi="Times New Roman"/>
                <w:sz w:val="16"/>
                <w:szCs w:val="16"/>
                <w:color w:val="0000EE"/>
              </w:rPr>
            </w:pPr>
            <w:hyperlink r:id="rId266">
              <w:r>
                <w:rPr>
                  <w:rFonts w:ascii="Times New Roman" w:cs="Times New Roman" w:eastAsia="Times New Roman" w:hAnsi="Times New Roman"/>
                  <w:sz w:val="16"/>
                  <w:szCs w:val="16"/>
                  <w:color w:val="0000EE"/>
                </w:rPr>
                <w:t>Master Framework Agreement, dated as of September 3, 2021 by and between Uber Technologies, Inc. and the Company (incorporated by reference to</w:t>
              </w:r>
            </w:hyperlink>
          </w:p>
        </w:tc>
      </w:tr>
      <w:tr>
        <w:trPr>
          <w:trHeight w:val="176"/>
        </w:trPr>
        <w:tc>
          <w:tcPr>
            <w:tcW w:w="1120" w:type="dxa"/>
            <w:vAlign w:val="bottom"/>
          </w:tcPr>
          <w:p>
            <w:pPr>
              <w:spacing w:after="0"/>
              <w:rPr>
                <w:sz w:val="15"/>
                <w:szCs w:val="15"/>
                <w:color w:val="auto"/>
              </w:rPr>
            </w:pPr>
          </w:p>
        </w:tc>
        <w:tc>
          <w:tcPr>
            <w:tcW w:w="10120" w:type="dxa"/>
            <w:vAlign w:val="bottom"/>
            <w:gridSpan w:val="12"/>
          </w:tcPr>
          <w:p>
            <w:pPr>
              <w:spacing w:after="0" w:line="177" w:lineRule="exact"/>
              <w:rPr>
                <w:rFonts w:ascii="Times New Roman" w:cs="Times New Roman" w:eastAsia="Times New Roman" w:hAnsi="Times New Roman"/>
                <w:sz w:val="16"/>
                <w:szCs w:val="16"/>
                <w:color w:val="0000EE"/>
              </w:rPr>
            </w:pPr>
            <w:hyperlink r:id="rId266">
              <w:r>
                <w:rPr>
                  <w:rFonts w:ascii="Times New Roman" w:cs="Times New Roman" w:eastAsia="Times New Roman" w:hAnsi="Times New Roman"/>
                  <w:sz w:val="16"/>
                  <w:szCs w:val="16"/>
                  <w:color w:val="0000EE"/>
                </w:rPr>
                <w:t>Exhibit 10.9 to Amendment No. 2 to the Registration Statement on Form S-1 filed with the SEC on November 28, 2023).</w:t>
              </w:r>
            </w:hyperlink>
          </w:p>
        </w:tc>
      </w:tr>
      <w:tr>
        <w:trPr>
          <w:trHeight w:val="28"/>
        </w:trPr>
        <w:tc>
          <w:tcPr>
            <w:tcW w:w="1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8"/>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10.10#</w:t>
            </w:r>
          </w:p>
        </w:tc>
        <w:tc>
          <w:tcPr>
            <w:tcW w:w="10120" w:type="dxa"/>
            <w:vAlign w:val="bottom"/>
            <w:tcBorders>
              <w:bottom w:val="single" w:sz="8" w:color="0000EE"/>
            </w:tcBorders>
            <w:gridSpan w:val="12"/>
            <w:shd w:val="clear" w:color="auto" w:fill="CCEEFF"/>
          </w:tcPr>
          <w:p>
            <w:pPr>
              <w:spacing w:after="0" w:line="168" w:lineRule="exact"/>
              <w:rPr>
                <w:rFonts w:ascii="Times New Roman" w:cs="Times New Roman" w:eastAsia="Times New Roman" w:hAnsi="Times New Roman"/>
                <w:sz w:val="16"/>
                <w:szCs w:val="16"/>
                <w:color w:val="0000EE"/>
              </w:rPr>
            </w:pPr>
            <w:hyperlink r:id="rId267">
              <w:r>
                <w:rPr>
                  <w:rFonts w:ascii="Times New Roman" w:cs="Times New Roman" w:eastAsia="Times New Roman" w:hAnsi="Times New Roman"/>
                  <w:sz w:val="16"/>
                  <w:szCs w:val="16"/>
                  <w:color w:val="0000EE"/>
                </w:rPr>
                <w:t>Amendment No. 1 to the Master Framework Agreement, dated as of May 26, 2022 by and between Uber Technologies, Inc. and the Company</w:t>
              </w:r>
            </w:hyperlink>
          </w:p>
        </w:tc>
      </w:tr>
      <w:tr>
        <w:trPr>
          <w:trHeight w:val="193"/>
        </w:trPr>
        <w:tc>
          <w:tcPr>
            <w:tcW w:w="1120" w:type="dxa"/>
            <w:vAlign w:val="bottom"/>
            <w:tcBorders>
              <w:bottom w:val="single" w:sz="8" w:color="CCEEFF"/>
            </w:tcBorders>
            <w:shd w:val="clear" w:color="auto" w:fill="CCEEFF"/>
          </w:tcPr>
          <w:p>
            <w:pPr>
              <w:spacing w:after="0"/>
              <w:rPr>
                <w:sz w:val="16"/>
                <w:szCs w:val="16"/>
                <w:color w:val="auto"/>
              </w:rPr>
            </w:pPr>
          </w:p>
        </w:tc>
        <w:tc>
          <w:tcPr>
            <w:tcW w:w="9980" w:type="dxa"/>
            <w:vAlign w:val="bottom"/>
            <w:tcBorders>
              <w:bottom w:val="single" w:sz="8" w:color="0000EE"/>
            </w:tcBorders>
            <w:gridSpan w:val="11"/>
            <w:shd w:val="clear" w:color="auto" w:fill="CCEEFF"/>
          </w:tcPr>
          <w:p>
            <w:pPr>
              <w:spacing w:after="0" w:line="177" w:lineRule="exact"/>
              <w:rPr>
                <w:rFonts w:ascii="Times New Roman" w:cs="Times New Roman" w:eastAsia="Times New Roman" w:hAnsi="Times New Roman"/>
                <w:sz w:val="16"/>
                <w:szCs w:val="16"/>
                <w:color w:val="0000EE"/>
              </w:rPr>
            </w:pPr>
            <w:hyperlink r:id="rId267">
              <w:r>
                <w:rPr>
                  <w:rFonts w:ascii="Times New Roman" w:cs="Times New Roman" w:eastAsia="Times New Roman" w:hAnsi="Times New Roman"/>
                  <w:sz w:val="16"/>
                  <w:szCs w:val="16"/>
                  <w:color w:val="0000EE"/>
                </w:rPr>
                <w:t>(incorporated by reference to Exhibit 10.10 to Amendment No. 2 to the Registration Statement on Form S-1 filed with the SEC on November 28, 2023).</w:t>
              </w:r>
            </w:hyperlink>
          </w:p>
        </w:tc>
        <w:tc>
          <w:tcPr>
            <w:tcW w:w="140" w:type="dxa"/>
            <w:vAlign w:val="bottom"/>
            <w:tcBorders>
              <w:bottom w:val="single" w:sz="8" w:color="CCEEFF"/>
            </w:tcBorders>
            <w:shd w:val="clear" w:color="auto" w:fill="CCEEFF"/>
          </w:tcPr>
          <w:p>
            <w:pPr>
              <w:spacing w:after="0"/>
              <w:rPr>
                <w:sz w:val="16"/>
                <w:szCs w:val="16"/>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10.11#</w:t>
            </w:r>
          </w:p>
        </w:tc>
        <w:tc>
          <w:tcPr>
            <w:tcW w:w="10120" w:type="dxa"/>
            <w:vAlign w:val="bottom"/>
            <w:tcBorders>
              <w:bottom w:val="single" w:sz="8" w:color="0000EE"/>
            </w:tcBorders>
            <w:gridSpan w:val="12"/>
          </w:tcPr>
          <w:p>
            <w:pPr>
              <w:spacing w:after="0" w:line="160" w:lineRule="exact"/>
              <w:rPr>
                <w:rFonts w:ascii="Times New Roman" w:cs="Times New Roman" w:eastAsia="Times New Roman" w:hAnsi="Times New Roman"/>
                <w:sz w:val="16"/>
                <w:szCs w:val="16"/>
                <w:color w:val="0000EE"/>
              </w:rPr>
            </w:pPr>
            <w:hyperlink r:id="rId268">
              <w:r>
                <w:rPr>
                  <w:rFonts w:ascii="Times New Roman" w:cs="Times New Roman" w:eastAsia="Times New Roman" w:hAnsi="Times New Roman"/>
                  <w:sz w:val="16"/>
                  <w:szCs w:val="16"/>
                  <w:color w:val="0000EE"/>
                </w:rPr>
                <w:t>Amendment No. 2 to the Master Framework Agreement, dated as of January 12, 2023 by and between Uber Technologies, Inc. and the Company</w:t>
              </w:r>
            </w:hyperlink>
          </w:p>
        </w:tc>
      </w:tr>
      <w:tr>
        <w:trPr>
          <w:trHeight w:val="176"/>
        </w:trPr>
        <w:tc>
          <w:tcPr>
            <w:tcW w:w="1120" w:type="dxa"/>
            <w:vAlign w:val="bottom"/>
          </w:tcPr>
          <w:p>
            <w:pPr>
              <w:spacing w:after="0"/>
              <w:rPr>
                <w:sz w:val="15"/>
                <w:szCs w:val="15"/>
                <w:color w:val="auto"/>
              </w:rPr>
            </w:pPr>
          </w:p>
        </w:tc>
        <w:tc>
          <w:tcPr>
            <w:tcW w:w="10120" w:type="dxa"/>
            <w:vAlign w:val="bottom"/>
            <w:gridSpan w:val="12"/>
          </w:tcPr>
          <w:p>
            <w:pPr>
              <w:spacing w:after="0" w:line="177" w:lineRule="exact"/>
              <w:rPr>
                <w:rFonts w:ascii="Times New Roman" w:cs="Times New Roman" w:eastAsia="Times New Roman" w:hAnsi="Times New Roman"/>
                <w:sz w:val="16"/>
                <w:szCs w:val="16"/>
                <w:color w:val="0000EE"/>
              </w:rPr>
            </w:pPr>
            <w:hyperlink r:id="rId268">
              <w:r>
                <w:rPr>
                  <w:rFonts w:ascii="Times New Roman" w:cs="Times New Roman" w:eastAsia="Times New Roman" w:hAnsi="Times New Roman"/>
                  <w:sz w:val="16"/>
                  <w:szCs w:val="16"/>
                  <w:color w:val="0000EE"/>
                </w:rPr>
                <w:t>(incorporated by reference to Exhibit 10.11 to Amendment No. 2 to the Registration Statement on Form S-1 filed with the SEC on November 28, 2023).</w:t>
              </w:r>
            </w:hyperlink>
          </w:p>
        </w:tc>
      </w:tr>
      <w:tr>
        <w:trPr>
          <w:trHeight w:val="28"/>
        </w:trPr>
        <w:tc>
          <w:tcPr>
            <w:tcW w:w="1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8"/>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10.12#</w:t>
            </w:r>
          </w:p>
        </w:tc>
        <w:tc>
          <w:tcPr>
            <w:tcW w:w="10120" w:type="dxa"/>
            <w:vAlign w:val="bottom"/>
            <w:tcBorders>
              <w:bottom w:val="single" w:sz="8" w:color="0000EE"/>
            </w:tcBorders>
            <w:gridSpan w:val="12"/>
            <w:shd w:val="clear" w:color="auto" w:fill="CCEEFF"/>
          </w:tcPr>
          <w:p>
            <w:pPr>
              <w:spacing w:after="0" w:line="168" w:lineRule="exact"/>
              <w:rPr>
                <w:rFonts w:ascii="Times New Roman" w:cs="Times New Roman" w:eastAsia="Times New Roman" w:hAnsi="Times New Roman"/>
                <w:sz w:val="16"/>
                <w:szCs w:val="16"/>
                <w:color w:val="0000EE"/>
              </w:rPr>
            </w:pPr>
            <w:hyperlink r:id="rId269">
              <w:r>
                <w:rPr>
                  <w:rFonts w:ascii="Times New Roman" w:cs="Times New Roman" w:eastAsia="Times New Roman" w:hAnsi="Times New Roman"/>
                  <w:sz w:val="16"/>
                  <w:szCs w:val="16"/>
                  <w:color w:val="0000EE"/>
                </w:rPr>
                <w:t>Amendment No. 3 to the Master Framework Agreement, dated as of September 6, 2023 by and between Uber Technologies, Inc. and the Company</w:t>
              </w:r>
            </w:hyperlink>
          </w:p>
        </w:tc>
      </w:tr>
      <w:tr>
        <w:trPr>
          <w:trHeight w:val="193"/>
        </w:trPr>
        <w:tc>
          <w:tcPr>
            <w:tcW w:w="1120" w:type="dxa"/>
            <w:vAlign w:val="bottom"/>
            <w:tcBorders>
              <w:bottom w:val="single" w:sz="8" w:color="CCEEFF"/>
            </w:tcBorders>
            <w:shd w:val="clear" w:color="auto" w:fill="CCEEFF"/>
          </w:tcPr>
          <w:p>
            <w:pPr>
              <w:spacing w:after="0"/>
              <w:rPr>
                <w:sz w:val="16"/>
                <w:szCs w:val="16"/>
                <w:color w:val="auto"/>
              </w:rPr>
            </w:pPr>
          </w:p>
        </w:tc>
        <w:tc>
          <w:tcPr>
            <w:tcW w:w="9980" w:type="dxa"/>
            <w:vAlign w:val="bottom"/>
            <w:tcBorders>
              <w:bottom w:val="single" w:sz="8" w:color="0000EE"/>
            </w:tcBorders>
            <w:gridSpan w:val="11"/>
            <w:shd w:val="clear" w:color="auto" w:fill="CCEEFF"/>
          </w:tcPr>
          <w:p>
            <w:pPr>
              <w:spacing w:after="0" w:line="177" w:lineRule="exact"/>
              <w:rPr>
                <w:rFonts w:ascii="Times New Roman" w:cs="Times New Roman" w:eastAsia="Times New Roman" w:hAnsi="Times New Roman"/>
                <w:sz w:val="16"/>
                <w:szCs w:val="16"/>
                <w:color w:val="0000EE"/>
              </w:rPr>
            </w:pPr>
            <w:hyperlink r:id="rId269">
              <w:r>
                <w:rPr>
                  <w:rFonts w:ascii="Times New Roman" w:cs="Times New Roman" w:eastAsia="Times New Roman" w:hAnsi="Times New Roman"/>
                  <w:sz w:val="16"/>
                  <w:szCs w:val="16"/>
                  <w:color w:val="0000EE"/>
                </w:rPr>
                <w:t>(incorporated by reference to Exhibit 10.12 to Amendment No. 2 to the Registration Statement on Form S-1 filed with the SEC on November 28, 2023).</w:t>
              </w:r>
            </w:hyperlink>
          </w:p>
        </w:tc>
        <w:tc>
          <w:tcPr>
            <w:tcW w:w="140" w:type="dxa"/>
            <w:vAlign w:val="bottom"/>
            <w:tcBorders>
              <w:bottom w:val="single" w:sz="8" w:color="CCEEFF"/>
            </w:tcBorders>
            <w:shd w:val="clear" w:color="auto" w:fill="CCEEFF"/>
          </w:tcPr>
          <w:p>
            <w:pPr>
              <w:spacing w:after="0"/>
              <w:rPr>
                <w:sz w:val="16"/>
                <w:szCs w:val="16"/>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10.13#</w:t>
            </w:r>
          </w:p>
        </w:tc>
        <w:tc>
          <w:tcPr>
            <w:tcW w:w="10120" w:type="dxa"/>
            <w:vAlign w:val="bottom"/>
            <w:tcBorders>
              <w:bottom w:val="single" w:sz="8" w:color="0000EE"/>
            </w:tcBorders>
            <w:gridSpan w:val="12"/>
          </w:tcPr>
          <w:p>
            <w:pPr>
              <w:spacing w:after="0" w:line="160" w:lineRule="exact"/>
              <w:rPr>
                <w:rFonts w:ascii="Times New Roman" w:cs="Times New Roman" w:eastAsia="Times New Roman" w:hAnsi="Times New Roman"/>
                <w:sz w:val="16"/>
                <w:szCs w:val="16"/>
                <w:color w:val="0000EE"/>
              </w:rPr>
            </w:pPr>
            <w:hyperlink r:id="rId270">
              <w:r>
                <w:rPr>
                  <w:rFonts w:ascii="Times New Roman" w:cs="Times New Roman" w:eastAsia="Times New Roman" w:hAnsi="Times New Roman"/>
                  <w:sz w:val="16"/>
                  <w:szCs w:val="16"/>
                  <w:color w:val="0000EE"/>
                </w:rPr>
                <w:t>Project Plan #1, dated as of February 3, 2022, by and between Uber Technologies, Inc. and the Company (incorporated by reference to Exhibit 10.13 to</w:t>
              </w:r>
            </w:hyperlink>
          </w:p>
        </w:tc>
      </w:tr>
      <w:tr>
        <w:trPr>
          <w:trHeight w:val="176"/>
        </w:trPr>
        <w:tc>
          <w:tcPr>
            <w:tcW w:w="1120" w:type="dxa"/>
            <w:vAlign w:val="bottom"/>
          </w:tcPr>
          <w:p>
            <w:pPr>
              <w:spacing w:after="0"/>
              <w:rPr>
                <w:sz w:val="15"/>
                <w:szCs w:val="15"/>
                <w:color w:val="auto"/>
              </w:rPr>
            </w:pPr>
          </w:p>
        </w:tc>
        <w:tc>
          <w:tcPr>
            <w:tcW w:w="10120" w:type="dxa"/>
            <w:vAlign w:val="bottom"/>
            <w:gridSpan w:val="12"/>
          </w:tcPr>
          <w:p>
            <w:pPr>
              <w:spacing w:after="0" w:line="177" w:lineRule="exact"/>
              <w:rPr>
                <w:rFonts w:ascii="Times New Roman" w:cs="Times New Roman" w:eastAsia="Times New Roman" w:hAnsi="Times New Roman"/>
                <w:sz w:val="16"/>
                <w:szCs w:val="16"/>
                <w:color w:val="0000EE"/>
              </w:rPr>
            </w:pPr>
            <w:hyperlink r:id="rId270">
              <w:r>
                <w:rPr>
                  <w:rFonts w:ascii="Times New Roman" w:cs="Times New Roman" w:eastAsia="Times New Roman" w:hAnsi="Times New Roman"/>
                  <w:sz w:val="16"/>
                  <w:szCs w:val="16"/>
                  <w:color w:val="0000EE"/>
                </w:rPr>
                <w:t>Amendment No. 2 to the Registration Statement on Form S-1 filed with the SEC on November 28, 2023).</w:t>
              </w:r>
            </w:hyperlink>
          </w:p>
        </w:tc>
      </w:tr>
      <w:tr>
        <w:trPr>
          <w:trHeight w:val="28"/>
        </w:trPr>
        <w:tc>
          <w:tcPr>
            <w:tcW w:w="1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8"/>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10.14#</w:t>
            </w:r>
          </w:p>
        </w:tc>
        <w:tc>
          <w:tcPr>
            <w:tcW w:w="10120" w:type="dxa"/>
            <w:vAlign w:val="bottom"/>
            <w:tcBorders>
              <w:bottom w:val="single" w:sz="8" w:color="0000EE"/>
            </w:tcBorders>
            <w:gridSpan w:val="12"/>
            <w:shd w:val="clear" w:color="auto" w:fill="CCEEFF"/>
          </w:tcPr>
          <w:p>
            <w:pPr>
              <w:spacing w:after="0" w:line="168" w:lineRule="exact"/>
              <w:rPr>
                <w:rFonts w:ascii="Times New Roman" w:cs="Times New Roman" w:eastAsia="Times New Roman" w:hAnsi="Times New Roman"/>
                <w:sz w:val="16"/>
                <w:szCs w:val="16"/>
                <w:color w:val="0000EE"/>
              </w:rPr>
            </w:pPr>
            <w:hyperlink r:id="rId271">
              <w:r>
                <w:rPr>
                  <w:rFonts w:ascii="Times New Roman" w:cs="Times New Roman" w:eastAsia="Times New Roman" w:hAnsi="Times New Roman"/>
                  <w:sz w:val="16"/>
                  <w:szCs w:val="16"/>
                  <w:color w:val="0000EE"/>
                </w:rPr>
                <w:t>Project Plan #2, dated as of May 26, 2022, by and between Uber Technologies, Inc. and the Company (incorporated by reference to Exhibit 10.14 to</w:t>
              </w:r>
            </w:hyperlink>
          </w:p>
        </w:tc>
      </w:tr>
      <w:tr>
        <w:trPr>
          <w:trHeight w:val="176"/>
        </w:trPr>
        <w:tc>
          <w:tcPr>
            <w:tcW w:w="1120" w:type="dxa"/>
            <w:vAlign w:val="bottom"/>
            <w:shd w:val="clear" w:color="auto" w:fill="CCEEFF"/>
          </w:tcPr>
          <w:p>
            <w:pPr>
              <w:spacing w:after="0"/>
              <w:rPr>
                <w:sz w:val="15"/>
                <w:szCs w:val="15"/>
                <w:color w:val="auto"/>
              </w:rPr>
            </w:pPr>
          </w:p>
        </w:tc>
        <w:tc>
          <w:tcPr>
            <w:tcW w:w="10120" w:type="dxa"/>
            <w:vAlign w:val="bottom"/>
            <w:gridSpan w:val="12"/>
            <w:shd w:val="clear" w:color="auto" w:fill="CCEEFF"/>
          </w:tcPr>
          <w:p>
            <w:pPr>
              <w:spacing w:after="0" w:line="177" w:lineRule="exact"/>
              <w:rPr>
                <w:rFonts w:ascii="Times New Roman" w:cs="Times New Roman" w:eastAsia="Times New Roman" w:hAnsi="Times New Roman"/>
                <w:sz w:val="16"/>
                <w:szCs w:val="16"/>
                <w:color w:val="0000EE"/>
              </w:rPr>
            </w:pPr>
            <w:hyperlink r:id="rId271">
              <w:r>
                <w:rPr>
                  <w:rFonts w:ascii="Times New Roman" w:cs="Times New Roman" w:eastAsia="Times New Roman" w:hAnsi="Times New Roman"/>
                  <w:sz w:val="16"/>
                  <w:szCs w:val="16"/>
                  <w:color w:val="0000EE"/>
                </w:rPr>
                <w:t>Amendment No. 2 to the Registration Statement on Form S-1 filed with the SEC on November 28, 2023).</w:t>
              </w:r>
            </w:hyperlink>
          </w:p>
        </w:tc>
      </w:tr>
      <w:tr>
        <w:trPr>
          <w:trHeight w:val="37"/>
        </w:trPr>
        <w:tc>
          <w:tcPr>
            <w:tcW w:w="1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10.15</w:t>
            </w:r>
          </w:p>
        </w:tc>
        <w:tc>
          <w:tcPr>
            <w:tcW w:w="10120" w:type="dxa"/>
            <w:vAlign w:val="bottom"/>
            <w:tcBorders>
              <w:bottom w:val="single" w:sz="8" w:color="0000EE"/>
            </w:tcBorders>
            <w:gridSpan w:val="12"/>
          </w:tcPr>
          <w:p>
            <w:pPr>
              <w:spacing w:after="0" w:line="160" w:lineRule="exact"/>
              <w:rPr>
                <w:rFonts w:ascii="Times New Roman" w:cs="Times New Roman" w:eastAsia="Times New Roman" w:hAnsi="Times New Roman"/>
                <w:sz w:val="16"/>
                <w:szCs w:val="16"/>
                <w:color w:val="0000EE"/>
              </w:rPr>
            </w:pPr>
            <w:hyperlink r:id="rId272">
              <w:r>
                <w:rPr>
                  <w:rFonts w:ascii="Times New Roman" w:cs="Times New Roman" w:eastAsia="Times New Roman" w:hAnsi="Times New Roman"/>
                  <w:sz w:val="16"/>
                  <w:szCs w:val="16"/>
                  <w:color w:val="0000EE"/>
                </w:rPr>
                <w:t>Equipment Lease Agreement, dated as of June 6, 2022, by and between Farnam Street Financial, Inc. and the Company (incorporated by reference to</w:t>
              </w:r>
            </w:hyperlink>
          </w:p>
        </w:tc>
      </w:tr>
      <w:tr>
        <w:trPr>
          <w:trHeight w:val="176"/>
        </w:trPr>
        <w:tc>
          <w:tcPr>
            <w:tcW w:w="1120" w:type="dxa"/>
            <w:vAlign w:val="bottom"/>
          </w:tcPr>
          <w:p>
            <w:pPr>
              <w:spacing w:after="0"/>
              <w:rPr>
                <w:sz w:val="15"/>
                <w:szCs w:val="15"/>
                <w:color w:val="auto"/>
              </w:rPr>
            </w:pPr>
          </w:p>
        </w:tc>
        <w:tc>
          <w:tcPr>
            <w:tcW w:w="10120" w:type="dxa"/>
            <w:vAlign w:val="bottom"/>
            <w:gridSpan w:val="12"/>
          </w:tcPr>
          <w:p>
            <w:pPr>
              <w:spacing w:after="0" w:line="177" w:lineRule="exact"/>
              <w:rPr>
                <w:rFonts w:ascii="Times New Roman" w:cs="Times New Roman" w:eastAsia="Times New Roman" w:hAnsi="Times New Roman"/>
                <w:sz w:val="16"/>
                <w:szCs w:val="16"/>
                <w:color w:val="0000EE"/>
              </w:rPr>
            </w:pPr>
            <w:hyperlink r:id="rId272">
              <w:r>
                <w:rPr>
                  <w:rFonts w:ascii="Times New Roman" w:cs="Times New Roman" w:eastAsia="Times New Roman" w:hAnsi="Times New Roman"/>
                  <w:sz w:val="16"/>
                  <w:szCs w:val="16"/>
                  <w:color w:val="0000EE"/>
                </w:rPr>
                <w:t>Exhibit 10.14 to the Current Report on Form 8-K filed with the SEC on August 4, 2023).</w:t>
              </w:r>
            </w:hyperlink>
          </w:p>
        </w:tc>
      </w:tr>
      <w:tr>
        <w:trPr>
          <w:trHeight w:val="28"/>
        </w:trPr>
        <w:tc>
          <w:tcPr>
            <w:tcW w:w="1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8"/>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10.16*</w:t>
            </w:r>
          </w:p>
        </w:tc>
        <w:tc>
          <w:tcPr>
            <w:tcW w:w="101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Schedule No. 001R, dated December 3, 2022, to Equipment Lease Agreement dated as of June 6, 2022, by and between Farnam Street Financial,</w:t>
            </w:r>
          </w:p>
        </w:tc>
      </w:tr>
      <w:tr>
        <w:trPr>
          <w:trHeight w:val="213"/>
        </w:trPr>
        <w:tc>
          <w:tcPr>
            <w:tcW w:w="1120" w:type="dxa"/>
            <w:vAlign w:val="bottom"/>
            <w:shd w:val="clear" w:color="auto" w:fill="CCEEFF"/>
          </w:tcPr>
          <w:p>
            <w:pPr>
              <w:spacing w:after="0"/>
              <w:rPr>
                <w:sz w:val="18"/>
                <w:szCs w:val="18"/>
                <w:color w:val="auto"/>
              </w:rPr>
            </w:pPr>
          </w:p>
        </w:tc>
        <w:tc>
          <w:tcPr>
            <w:tcW w:w="101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 and the Company.</w:t>
            </w:r>
          </w:p>
        </w:tc>
      </w:tr>
      <w:tr>
        <w:trPr>
          <w:trHeight w:val="180"/>
        </w:trPr>
        <w:tc>
          <w:tcPr>
            <w:tcW w:w="1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10.17*</w:t>
            </w:r>
          </w:p>
        </w:tc>
        <w:tc>
          <w:tcPr>
            <w:tcW w:w="10120" w:type="dxa"/>
            <w:vAlign w:val="bottom"/>
            <w:gridSpan w:val="12"/>
          </w:tcPr>
          <w:p>
            <w:pPr>
              <w:spacing w:after="0" w:line="180" w:lineRule="exact"/>
              <w:rPr>
                <w:sz w:val="20"/>
                <w:szCs w:val="20"/>
                <w:color w:val="auto"/>
              </w:rPr>
            </w:pPr>
            <w:r>
              <w:rPr>
                <w:rFonts w:ascii="Times New Roman" w:cs="Times New Roman" w:eastAsia="Times New Roman" w:hAnsi="Times New Roman"/>
                <w:sz w:val="16"/>
                <w:szCs w:val="16"/>
                <w:color w:val="auto"/>
              </w:rPr>
              <w:t>Lease Schedule No. 002, dated December 28, 2023, to Equipment Lease Agreement dated as of June 6, 2022, by and between Farnam Street Financial,</w:t>
            </w:r>
          </w:p>
        </w:tc>
      </w:tr>
      <w:tr>
        <w:trPr>
          <w:trHeight w:val="213"/>
        </w:trPr>
        <w:tc>
          <w:tcPr>
            <w:tcW w:w="1120" w:type="dxa"/>
            <w:vAlign w:val="bottom"/>
          </w:tcPr>
          <w:p>
            <w:pPr>
              <w:spacing w:after="0"/>
              <w:rPr>
                <w:sz w:val="18"/>
                <w:szCs w:val="18"/>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Inc. and the Company.</w:t>
            </w:r>
          </w:p>
        </w:tc>
      </w:tr>
      <w:tr>
        <w:trPr>
          <w:trHeight w:val="160"/>
        </w:trPr>
        <w:tc>
          <w:tcPr>
            <w:tcW w:w="1120" w:type="dxa"/>
            <w:vAlign w:val="bottom"/>
            <w:tcBorders>
              <w:bottom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10.18#§</w:t>
            </w:r>
          </w:p>
        </w:tc>
        <w:tc>
          <w:tcPr>
            <w:tcW w:w="10120" w:type="dxa"/>
            <w:vAlign w:val="bottom"/>
            <w:tcBorders>
              <w:bottom w:val="single" w:sz="8" w:color="0000EE"/>
            </w:tcBorders>
            <w:gridSpan w:val="12"/>
            <w:shd w:val="clear" w:color="auto" w:fill="CCEEFF"/>
          </w:tcPr>
          <w:p>
            <w:pPr>
              <w:spacing w:after="0" w:line="160" w:lineRule="exact"/>
              <w:rPr>
                <w:rFonts w:ascii="Times New Roman" w:cs="Times New Roman" w:eastAsia="Times New Roman" w:hAnsi="Times New Roman"/>
                <w:sz w:val="16"/>
                <w:szCs w:val="16"/>
                <w:color w:val="0000EE"/>
              </w:rPr>
            </w:pPr>
            <w:hyperlink r:id="rId273">
              <w:r>
                <w:rPr>
                  <w:rFonts w:ascii="Times New Roman" w:cs="Times New Roman" w:eastAsia="Times New Roman" w:hAnsi="Times New Roman"/>
                  <w:sz w:val="16"/>
                  <w:szCs w:val="16"/>
                  <w:color w:val="0000EE"/>
                </w:rPr>
                <w:t>Strategic Customer Agreement, dated as of December 31, 2021, by and between Ouster, Inc. and the Company (incorporated by reference to Exhibit 10.15</w:t>
              </w:r>
            </w:hyperlink>
          </w:p>
        </w:tc>
      </w:tr>
      <w:tr>
        <w:trPr>
          <w:trHeight w:val="193"/>
        </w:trPr>
        <w:tc>
          <w:tcPr>
            <w:tcW w:w="11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0000EE"/>
            </w:tcBorders>
            <w:gridSpan w:val="2"/>
            <w:shd w:val="clear" w:color="auto" w:fill="CCEEFF"/>
          </w:tcPr>
          <w:p>
            <w:pPr>
              <w:spacing w:after="0" w:line="177" w:lineRule="exact"/>
              <w:rPr>
                <w:rFonts w:ascii="Times New Roman" w:cs="Times New Roman" w:eastAsia="Times New Roman" w:hAnsi="Times New Roman"/>
                <w:sz w:val="16"/>
                <w:szCs w:val="16"/>
                <w:color w:val="0000EE"/>
              </w:rPr>
            </w:pPr>
            <w:hyperlink r:id="rId273">
              <w:r>
                <w:rPr>
                  <w:rFonts w:ascii="Times New Roman" w:cs="Times New Roman" w:eastAsia="Times New Roman" w:hAnsi="Times New Roman"/>
                  <w:sz w:val="16"/>
                  <w:szCs w:val="16"/>
                  <w:color w:val="0000EE"/>
                </w:rPr>
                <w:t>to the Current Report on Form 8-K filed with the SEC on August 4, 2023).</w:t>
              </w:r>
            </w:hyperlink>
          </w:p>
        </w:tc>
        <w:tc>
          <w:tcPr>
            <w:tcW w:w="5220" w:type="dxa"/>
            <w:vAlign w:val="bottom"/>
            <w:tcBorders>
              <w:bottom w:val="single" w:sz="8" w:color="CCEEFF"/>
            </w:tcBorders>
            <w:gridSpan w:val="10"/>
            <w:shd w:val="clear" w:color="auto" w:fill="CCEEFF"/>
          </w:tcPr>
          <w:p>
            <w:pPr>
              <w:spacing w:after="0"/>
              <w:rPr>
                <w:sz w:val="16"/>
                <w:szCs w:val="16"/>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10.19§</w:t>
            </w:r>
          </w:p>
        </w:tc>
        <w:tc>
          <w:tcPr>
            <w:tcW w:w="10120" w:type="dxa"/>
            <w:vAlign w:val="bottom"/>
            <w:tcBorders>
              <w:bottom w:val="single" w:sz="8" w:color="0000EE"/>
            </w:tcBorders>
            <w:gridSpan w:val="12"/>
          </w:tcPr>
          <w:p>
            <w:pPr>
              <w:spacing w:after="0" w:line="160" w:lineRule="exact"/>
              <w:rPr>
                <w:rFonts w:ascii="Times New Roman" w:cs="Times New Roman" w:eastAsia="Times New Roman" w:hAnsi="Times New Roman"/>
                <w:sz w:val="16"/>
                <w:szCs w:val="16"/>
                <w:color w:val="0000EE"/>
              </w:rPr>
            </w:pPr>
            <w:hyperlink r:id="rId274">
              <w:r>
                <w:rPr>
                  <w:rFonts w:ascii="Times New Roman" w:cs="Times New Roman" w:eastAsia="Times New Roman" w:hAnsi="Times New Roman"/>
                  <w:sz w:val="16"/>
                  <w:szCs w:val="16"/>
                  <w:color w:val="0000EE"/>
                </w:rPr>
                <w:t>Loan and Security Agreement, dated as of March 1, 2022, by and between Silicon Valley Bank and the Company (incorporated by reference to Exhibit</w:t>
              </w:r>
            </w:hyperlink>
          </w:p>
        </w:tc>
      </w:tr>
      <w:tr>
        <w:trPr>
          <w:trHeight w:val="176"/>
        </w:trPr>
        <w:tc>
          <w:tcPr>
            <w:tcW w:w="1120" w:type="dxa"/>
            <w:vAlign w:val="bottom"/>
          </w:tcPr>
          <w:p>
            <w:pPr>
              <w:spacing w:after="0"/>
              <w:rPr>
                <w:sz w:val="15"/>
                <w:szCs w:val="15"/>
                <w:color w:val="auto"/>
              </w:rPr>
            </w:pPr>
          </w:p>
        </w:tc>
        <w:tc>
          <w:tcPr>
            <w:tcW w:w="10120" w:type="dxa"/>
            <w:vAlign w:val="bottom"/>
            <w:gridSpan w:val="12"/>
          </w:tcPr>
          <w:p>
            <w:pPr>
              <w:spacing w:after="0" w:line="177" w:lineRule="exact"/>
              <w:rPr>
                <w:rFonts w:ascii="Times New Roman" w:cs="Times New Roman" w:eastAsia="Times New Roman" w:hAnsi="Times New Roman"/>
                <w:sz w:val="16"/>
                <w:szCs w:val="16"/>
                <w:color w:val="0000EE"/>
              </w:rPr>
            </w:pPr>
            <w:hyperlink r:id="rId27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16</w:t>
              </w:r>
              <w:r>
                <w:rPr>
                  <w:rFonts w:ascii="Times New Roman" w:cs="Times New Roman" w:eastAsia="Times New Roman" w:hAnsi="Times New Roman"/>
                  <w:sz w:val="16"/>
                  <w:szCs w:val="16"/>
                  <w:color w:val="0000EE"/>
                </w:rPr>
                <w:t xml:space="preserve"> to the Current Report on Form 8-K filed with the SEC on August 4, 2023).</w:t>
              </w:r>
            </w:hyperlink>
          </w:p>
        </w:tc>
      </w:tr>
      <w:tr>
        <w:trPr>
          <w:trHeight w:val="28"/>
        </w:trPr>
        <w:tc>
          <w:tcPr>
            <w:tcW w:w="1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8"/>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10.20</w:t>
            </w:r>
          </w:p>
        </w:tc>
        <w:tc>
          <w:tcPr>
            <w:tcW w:w="10120" w:type="dxa"/>
            <w:vAlign w:val="bottom"/>
            <w:tcBorders>
              <w:bottom w:val="single" w:sz="8" w:color="0000EE"/>
            </w:tcBorders>
            <w:gridSpan w:val="12"/>
            <w:shd w:val="clear" w:color="auto" w:fill="CCEEFF"/>
          </w:tcPr>
          <w:p>
            <w:pPr>
              <w:spacing w:after="0" w:line="168" w:lineRule="exact"/>
              <w:rPr>
                <w:rFonts w:ascii="Times New Roman" w:cs="Times New Roman" w:eastAsia="Times New Roman" w:hAnsi="Times New Roman"/>
                <w:sz w:val="16"/>
                <w:szCs w:val="16"/>
                <w:color w:val="0000EE"/>
              </w:rPr>
            </w:pPr>
            <w:hyperlink r:id="rId275">
              <w:r>
                <w:rPr>
                  <w:rFonts w:ascii="Times New Roman" w:cs="Times New Roman" w:eastAsia="Times New Roman" w:hAnsi="Times New Roman"/>
                  <w:sz w:val="16"/>
                  <w:szCs w:val="16"/>
                  <w:color w:val="0000EE"/>
                </w:rPr>
                <w:t>First Amendment to the Loan and Security Agreement, dated as of October 11, 2022, by and between Silicon Valley Bank and the Company (incorporated</w:t>
              </w:r>
            </w:hyperlink>
          </w:p>
        </w:tc>
      </w:tr>
      <w:tr>
        <w:trPr>
          <w:trHeight w:val="176"/>
        </w:trPr>
        <w:tc>
          <w:tcPr>
            <w:tcW w:w="1120" w:type="dxa"/>
            <w:vAlign w:val="bottom"/>
            <w:shd w:val="clear" w:color="auto" w:fill="CCEEFF"/>
          </w:tcPr>
          <w:p>
            <w:pPr>
              <w:spacing w:after="0"/>
              <w:rPr>
                <w:sz w:val="15"/>
                <w:szCs w:val="15"/>
                <w:color w:val="auto"/>
              </w:rPr>
            </w:pPr>
          </w:p>
        </w:tc>
        <w:tc>
          <w:tcPr>
            <w:tcW w:w="10120" w:type="dxa"/>
            <w:vAlign w:val="bottom"/>
            <w:gridSpan w:val="12"/>
            <w:shd w:val="clear" w:color="auto" w:fill="CCEEFF"/>
          </w:tcPr>
          <w:p>
            <w:pPr>
              <w:spacing w:after="0" w:line="177" w:lineRule="exact"/>
              <w:rPr>
                <w:rFonts w:ascii="Times New Roman" w:cs="Times New Roman" w:eastAsia="Times New Roman" w:hAnsi="Times New Roman"/>
                <w:sz w:val="16"/>
                <w:szCs w:val="16"/>
                <w:color w:val="0000EE"/>
              </w:rPr>
            </w:pPr>
            <w:hyperlink r:id="rId275">
              <w:r>
                <w:rPr>
                  <w:rFonts w:ascii="Times New Roman" w:cs="Times New Roman" w:eastAsia="Times New Roman" w:hAnsi="Times New Roman"/>
                  <w:sz w:val="16"/>
                  <w:szCs w:val="16"/>
                  <w:color w:val="0000EE"/>
                </w:rPr>
                <w:t>by reference to Exhibit 10.17 to the Current Report on Form 8-K filed with the SEC on August 4, 2023).</w:t>
              </w:r>
            </w:hyperlink>
          </w:p>
        </w:tc>
      </w:tr>
      <w:tr>
        <w:trPr>
          <w:trHeight w:val="37"/>
        </w:trPr>
        <w:tc>
          <w:tcPr>
            <w:tcW w:w="1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10.21</w:t>
            </w:r>
          </w:p>
        </w:tc>
        <w:tc>
          <w:tcPr>
            <w:tcW w:w="10120" w:type="dxa"/>
            <w:vAlign w:val="bottom"/>
            <w:tcBorders>
              <w:bottom w:val="single" w:sz="8" w:color="0000EE"/>
            </w:tcBorders>
            <w:gridSpan w:val="12"/>
          </w:tcPr>
          <w:p>
            <w:pPr>
              <w:spacing w:after="0" w:line="160" w:lineRule="exact"/>
              <w:rPr>
                <w:rFonts w:ascii="Times New Roman" w:cs="Times New Roman" w:eastAsia="Times New Roman" w:hAnsi="Times New Roman"/>
                <w:sz w:val="16"/>
                <w:szCs w:val="16"/>
                <w:color w:val="0000EE"/>
              </w:rPr>
            </w:pPr>
            <w:hyperlink r:id="rId276">
              <w:r>
                <w:rPr>
                  <w:rFonts w:ascii="Times New Roman" w:cs="Times New Roman" w:eastAsia="Times New Roman" w:hAnsi="Times New Roman"/>
                  <w:sz w:val="16"/>
                  <w:szCs w:val="16"/>
                  <w:color w:val="0000EE"/>
                </w:rPr>
                <w:t>Second Amendment to the Loan and Security Agreement, dated as of April 21, 2023, by and between Silicon Valley Bank, a division of First-Citizens</w:t>
              </w:r>
            </w:hyperlink>
          </w:p>
        </w:tc>
      </w:tr>
      <w:tr>
        <w:trPr>
          <w:trHeight w:val="176"/>
        </w:trPr>
        <w:tc>
          <w:tcPr>
            <w:tcW w:w="1120" w:type="dxa"/>
            <w:vAlign w:val="bottom"/>
          </w:tcPr>
          <w:p>
            <w:pPr>
              <w:spacing w:after="0"/>
              <w:rPr>
                <w:sz w:val="15"/>
                <w:szCs w:val="15"/>
                <w:color w:val="auto"/>
              </w:rPr>
            </w:pPr>
          </w:p>
        </w:tc>
        <w:tc>
          <w:tcPr>
            <w:tcW w:w="10120" w:type="dxa"/>
            <w:vAlign w:val="bottom"/>
            <w:tcBorders>
              <w:bottom w:val="single" w:sz="8" w:color="0000EE"/>
            </w:tcBorders>
            <w:gridSpan w:val="12"/>
          </w:tcPr>
          <w:p>
            <w:pPr>
              <w:spacing w:after="0" w:line="177" w:lineRule="exact"/>
              <w:rPr>
                <w:rFonts w:ascii="Times New Roman" w:cs="Times New Roman" w:eastAsia="Times New Roman" w:hAnsi="Times New Roman"/>
                <w:sz w:val="16"/>
                <w:szCs w:val="16"/>
                <w:color w:val="0000EE"/>
              </w:rPr>
            </w:pPr>
            <w:hyperlink r:id="rId276">
              <w:r>
                <w:rPr>
                  <w:rFonts w:ascii="Times New Roman" w:cs="Times New Roman" w:eastAsia="Times New Roman" w:hAnsi="Times New Roman"/>
                  <w:sz w:val="16"/>
                  <w:szCs w:val="16"/>
                  <w:color w:val="0000EE"/>
                </w:rPr>
                <w:t>Bank &amp; Trust Company and the Company (incorporated by reference to Exhibit 10.18 to the Current Report on Form 8-K filed with the SEC on August 4,</w:t>
              </w:r>
            </w:hyperlink>
          </w:p>
        </w:tc>
      </w:tr>
      <w:tr>
        <w:trPr>
          <w:trHeight w:val="176"/>
        </w:trPr>
        <w:tc>
          <w:tcPr>
            <w:tcW w:w="1120" w:type="dxa"/>
            <w:vAlign w:val="bottom"/>
          </w:tcPr>
          <w:p>
            <w:pPr>
              <w:spacing w:after="0"/>
              <w:rPr>
                <w:sz w:val="15"/>
                <w:szCs w:val="15"/>
                <w:color w:val="auto"/>
              </w:rPr>
            </w:pPr>
          </w:p>
        </w:tc>
        <w:tc>
          <w:tcPr>
            <w:tcW w:w="4900" w:type="dxa"/>
            <w:vAlign w:val="bottom"/>
            <w:gridSpan w:val="2"/>
          </w:tcPr>
          <w:p>
            <w:pPr>
              <w:spacing w:after="0" w:line="177" w:lineRule="exact"/>
              <w:rPr>
                <w:rFonts w:ascii="Times New Roman" w:cs="Times New Roman" w:eastAsia="Times New Roman" w:hAnsi="Times New Roman"/>
                <w:sz w:val="16"/>
                <w:szCs w:val="16"/>
                <w:color w:val="0000EE"/>
              </w:rPr>
            </w:pPr>
            <w:hyperlink r:id="rId276">
              <w:r>
                <w:rPr>
                  <w:rFonts w:ascii="Times New Roman" w:cs="Times New Roman" w:eastAsia="Times New Roman" w:hAnsi="Times New Roman"/>
                  <w:sz w:val="16"/>
                  <w:szCs w:val="16"/>
                  <w:color w:val="0000EE"/>
                </w:rPr>
                <w:t>2023).</w:t>
              </w:r>
            </w:hyperlink>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8"/>
        </w:trPr>
        <w:tc>
          <w:tcPr>
            <w:tcW w:w="1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8"/>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10.22</w:t>
            </w:r>
          </w:p>
        </w:tc>
        <w:tc>
          <w:tcPr>
            <w:tcW w:w="10120" w:type="dxa"/>
            <w:vAlign w:val="bottom"/>
            <w:tcBorders>
              <w:bottom w:val="single" w:sz="8" w:color="0000EE"/>
            </w:tcBorders>
            <w:gridSpan w:val="12"/>
            <w:shd w:val="clear" w:color="auto" w:fill="CCEEFF"/>
          </w:tcPr>
          <w:p>
            <w:pPr>
              <w:spacing w:after="0" w:line="168" w:lineRule="exact"/>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Third Amendment to the Loan and Security Agreement, dated as of July 28, 2023, by and between Silicon Valley Bank, a division of First-Citizens Bank</w:t>
              </w:r>
            </w:hyperlink>
          </w:p>
        </w:tc>
      </w:tr>
      <w:tr>
        <w:trPr>
          <w:trHeight w:val="176"/>
        </w:trPr>
        <w:tc>
          <w:tcPr>
            <w:tcW w:w="112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2"/>
            <w:shd w:val="clear" w:color="auto" w:fill="CCEEFF"/>
          </w:tcPr>
          <w:p>
            <w:pPr>
              <w:spacing w:after="0" w:line="177" w:lineRule="exact"/>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&amp; Trust Company and the Company (incorporated by reference to Exhibit 10.19 to the Current Report on Form 8-K filed with the SEC on August 4,</w:t>
              </w:r>
            </w:hyperlink>
          </w:p>
        </w:tc>
      </w:tr>
      <w:tr>
        <w:trPr>
          <w:trHeight w:val="176"/>
        </w:trPr>
        <w:tc>
          <w:tcPr>
            <w:tcW w:w="11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spacing w:after="0" w:line="177" w:lineRule="exact"/>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2023).</w:t>
              </w:r>
            </w:hyperlink>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37"/>
        </w:trPr>
        <w:tc>
          <w:tcPr>
            <w:tcW w:w="1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r>
        <w:trPr>
          <w:trHeight w:val="180"/>
        </w:trPr>
        <w:tc>
          <w:tcPr>
            <w:tcW w:w="1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10.23*</w:t>
            </w:r>
          </w:p>
        </w:tc>
        <w:tc>
          <w:tcPr>
            <w:tcW w:w="10120" w:type="dxa"/>
            <w:vAlign w:val="bottom"/>
            <w:gridSpan w:val="12"/>
          </w:tcPr>
          <w:p>
            <w:pPr>
              <w:spacing w:after="0" w:line="180" w:lineRule="exact"/>
              <w:rPr>
                <w:sz w:val="20"/>
                <w:szCs w:val="20"/>
                <w:color w:val="auto"/>
              </w:rPr>
            </w:pPr>
            <w:r>
              <w:rPr>
                <w:rFonts w:ascii="Times New Roman" w:cs="Times New Roman" w:eastAsia="Times New Roman" w:hAnsi="Times New Roman"/>
                <w:sz w:val="16"/>
                <w:szCs w:val="16"/>
                <w:color w:val="auto"/>
              </w:rPr>
              <w:t>Fourth Amendment to the Loan and Security Agreement, dated as of January 3, 2024, by and between Silicon Valley Bank, a division of First-Citizens</w:t>
            </w:r>
          </w:p>
        </w:tc>
      </w:tr>
      <w:tr>
        <w:trPr>
          <w:trHeight w:val="213"/>
        </w:trPr>
        <w:tc>
          <w:tcPr>
            <w:tcW w:w="1120" w:type="dxa"/>
            <w:vAlign w:val="bottom"/>
          </w:tcPr>
          <w:p>
            <w:pPr>
              <w:spacing w:after="0"/>
              <w:rPr>
                <w:sz w:val="18"/>
                <w:szCs w:val="18"/>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Bank &amp; Trust Company, the Company and Serve Operating Co.</w:t>
            </w:r>
          </w:p>
        </w:tc>
      </w:tr>
      <w:tr>
        <w:trPr>
          <w:trHeight w:val="176"/>
        </w:trPr>
        <w:tc>
          <w:tcPr>
            <w:tcW w:w="1120" w:type="dxa"/>
            <w:vAlign w:val="bottom"/>
            <w:tcBorders>
              <w:bottom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10.24</w:t>
            </w:r>
          </w:p>
        </w:tc>
        <w:tc>
          <w:tcPr>
            <w:tcW w:w="9740" w:type="dxa"/>
            <w:vAlign w:val="bottom"/>
            <w:tcBorders>
              <w:bottom w:val="single" w:sz="8" w:color="0000EE"/>
            </w:tcBorders>
            <w:gridSpan w:val="8"/>
            <w:shd w:val="clear" w:color="auto" w:fill="CCEEFF"/>
          </w:tcPr>
          <w:p>
            <w:pPr>
              <w:spacing w:after="0" w:line="160" w:lineRule="exact"/>
              <w:rPr>
                <w:rFonts w:ascii="Times New Roman" w:cs="Times New Roman" w:eastAsia="Times New Roman" w:hAnsi="Times New Roman"/>
                <w:sz w:val="16"/>
                <w:szCs w:val="16"/>
                <w:color w:val="0000EE"/>
              </w:rPr>
            </w:pPr>
            <w:hyperlink r:id="rId278">
              <w:r>
                <w:rPr>
                  <w:rFonts w:ascii="Times New Roman" w:cs="Times New Roman" w:eastAsia="Times New Roman" w:hAnsi="Times New Roman"/>
                  <w:sz w:val="16"/>
                  <w:szCs w:val="16"/>
                  <w:color w:val="0000EE"/>
                </w:rPr>
                <w:t>Form of Lock-Up Agreement (incorporated by reference to Exhibit 10.20 to the Current Report on Form 8-K filed with the SEC on August 4, 2023).</w:t>
              </w:r>
            </w:hyperlink>
          </w:p>
        </w:tc>
        <w:tc>
          <w:tcPr>
            <w:tcW w:w="380" w:type="dxa"/>
            <w:vAlign w:val="bottom"/>
            <w:tcBorders>
              <w:bottom w:val="single" w:sz="8" w:color="CCEEFF"/>
            </w:tcBorders>
            <w:gridSpan w:val="4"/>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78" w:name="page179"/>
    <w:bookmarkEnd w:id="178"/>
    <w:tbl>
      <w:tblPr>
        <w:tblLayout w:type="fixed"/>
        <w:tblInd w:w="2" w:type="dxa"/>
        <w:tblCellMar>
          <w:top w:w="0" w:type="dxa"/>
          <w:left w:w="0" w:type="dxa"/>
          <w:bottom w:w="0" w:type="dxa"/>
          <w:right w:w="0" w:type="dxa"/>
        </w:tblCellMar>
      </w:tblPr>
      <w:tr>
        <w:trPr>
          <w:trHeight w:val="184"/>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10.25</w:t>
            </w:r>
          </w:p>
        </w:tc>
        <w:tc>
          <w:tcPr>
            <w:tcW w:w="1012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6"/>
                <w:szCs w:val="16"/>
                <w:color w:val="0000EE"/>
              </w:rPr>
            </w:pPr>
            <w:hyperlink r:id="rId280">
              <w:r>
                <w:rPr>
                  <w:rFonts w:ascii="Times New Roman" w:cs="Times New Roman" w:eastAsia="Times New Roman" w:hAnsi="Times New Roman"/>
                  <w:sz w:val="16"/>
                  <w:szCs w:val="16"/>
                  <w:color w:val="0000EE"/>
                </w:rPr>
                <w:t>Form of Pre-Merger Indemnification Agreement (incorporated by reference to Exhibit 10.21 to the Current Report on Form 8-K filed with the SEC on</w:t>
              </w:r>
            </w:hyperlink>
          </w:p>
        </w:tc>
      </w:tr>
      <w:tr>
        <w:trPr>
          <w:trHeight w:val="176"/>
        </w:trPr>
        <w:tc>
          <w:tcPr>
            <w:tcW w:w="1120" w:type="dxa"/>
            <w:vAlign w:val="bottom"/>
            <w:shd w:val="clear" w:color="auto" w:fill="CCEEFF"/>
          </w:tcPr>
          <w:p>
            <w:pPr>
              <w:spacing w:after="0"/>
              <w:rPr>
                <w:sz w:val="15"/>
                <w:szCs w:val="15"/>
                <w:color w:val="auto"/>
              </w:rPr>
            </w:pPr>
          </w:p>
        </w:tc>
        <w:tc>
          <w:tcPr>
            <w:tcW w:w="10120" w:type="dxa"/>
            <w:vAlign w:val="bottom"/>
            <w:gridSpan w:val="9"/>
            <w:shd w:val="clear" w:color="auto" w:fill="CCEEFF"/>
          </w:tcPr>
          <w:p>
            <w:pPr>
              <w:spacing w:after="0" w:line="177" w:lineRule="exact"/>
              <w:rPr>
                <w:rFonts w:ascii="Times New Roman" w:cs="Times New Roman" w:eastAsia="Times New Roman" w:hAnsi="Times New Roman"/>
                <w:sz w:val="16"/>
                <w:szCs w:val="16"/>
                <w:color w:val="0000EE"/>
              </w:rPr>
            </w:pPr>
            <w:hyperlink r:id="rId280">
              <w:r>
                <w:rPr>
                  <w:rFonts w:ascii="Times New Roman" w:cs="Times New Roman" w:eastAsia="Times New Roman" w:hAnsi="Times New Roman"/>
                  <w:sz w:val="16"/>
                  <w:szCs w:val="16"/>
                  <w:color w:val="0000EE"/>
                </w:rPr>
                <w:t>August 4, 2023).</w:t>
              </w:r>
            </w:hyperlink>
          </w:p>
        </w:tc>
      </w:tr>
      <w:tr>
        <w:trPr>
          <w:trHeight w:val="37"/>
        </w:trPr>
        <w:tc>
          <w:tcPr>
            <w:tcW w:w="1120" w:type="dxa"/>
            <w:vAlign w:val="bottom"/>
            <w:shd w:val="clear" w:color="auto" w:fill="CCEEFF"/>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10.26</w:t>
            </w:r>
          </w:p>
        </w:tc>
        <w:tc>
          <w:tcPr>
            <w:tcW w:w="1012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EE"/>
              </w:rPr>
            </w:pPr>
            <w:hyperlink r:id="rId281">
              <w:r>
                <w:rPr>
                  <w:rFonts w:ascii="Times New Roman" w:cs="Times New Roman" w:eastAsia="Times New Roman" w:hAnsi="Times New Roman"/>
                  <w:sz w:val="16"/>
                  <w:szCs w:val="16"/>
                  <w:color w:val="0000EE"/>
                </w:rPr>
                <w:t>Subscription Agreement, dated July 31, 2023, by and between the Company and the parties thereto (incorporated by reference to Exhibit 10.22 to the</w:t>
              </w:r>
            </w:hyperlink>
          </w:p>
        </w:tc>
      </w:tr>
      <w:tr>
        <w:trPr>
          <w:trHeight w:val="176"/>
        </w:trPr>
        <w:tc>
          <w:tcPr>
            <w:tcW w:w="1120" w:type="dxa"/>
            <w:vAlign w:val="bottom"/>
          </w:tcPr>
          <w:p>
            <w:pPr>
              <w:spacing w:after="0"/>
              <w:rPr>
                <w:sz w:val="15"/>
                <w:szCs w:val="15"/>
                <w:color w:val="auto"/>
              </w:rPr>
            </w:pPr>
          </w:p>
        </w:tc>
        <w:tc>
          <w:tcPr>
            <w:tcW w:w="10120" w:type="dxa"/>
            <w:vAlign w:val="bottom"/>
            <w:gridSpan w:val="9"/>
          </w:tcPr>
          <w:p>
            <w:pPr>
              <w:spacing w:after="0" w:line="177" w:lineRule="exact"/>
              <w:rPr>
                <w:rFonts w:ascii="Times New Roman" w:cs="Times New Roman" w:eastAsia="Times New Roman" w:hAnsi="Times New Roman"/>
                <w:sz w:val="16"/>
                <w:szCs w:val="16"/>
                <w:color w:val="0000EE"/>
              </w:rPr>
            </w:pPr>
            <w:hyperlink r:id="rId281">
              <w:r>
                <w:rPr>
                  <w:rFonts w:ascii="Times New Roman" w:cs="Times New Roman" w:eastAsia="Times New Roman" w:hAnsi="Times New Roman"/>
                  <w:sz w:val="16"/>
                  <w:szCs w:val="16"/>
                  <w:color w:val="0000EE"/>
                </w:rPr>
                <w:t>Current Report on Form 8-K filed with the SEC on August 4, 2023).</w:t>
              </w:r>
            </w:hyperlink>
          </w:p>
        </w:tc>
      </w:tr>
      <w:tr>
        <w:trPr>
          <w:trHeight w:val="28"/>
        </w:trPr>
        <w:tc>
          <w:tcPr>
            <w:tcW w:w="112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68"/>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10.27</w:t>
            </w:r>
          </w:p>
        </w:tc>
        <w:tc>
          <w:tcPr>
            <w:tcW w:w="10120" w:type="dxa"/>
            <w:vAlign w:val="bottom"/>
            <w:tcBorders>
              <w:bottom w:val="single" w:sz="8" w:color="0000EE"/>
            </w:tcBorders>
            <w:gridSpan w:val="9"/>
            <w:shd w:val="clear" w:color="auto" w:fill="CCEEFF"/>
          </w:tcPr>
          <w:p>
            <w:pPr>
              <w:spacing w:after="0" w:line="168"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Form of Registration Rights Agreement, by and between the Company and the parties thereto (incorporated by reference to Exhibit 10.23 to the Current</w:t>
              </w:r>
            </w:hyperlink>
          </w:p>
        </w:tc>
      </w:tr>
      <w:tr>
        <w:trPr>
          <w:trHeight w:val="176"/>
        </w:trPr>
        <w:tc>
          <w:tcPr>
            <w:tcW w:w="1120" w:type="dxa"/>
            <w:vAlign w:val="bottom"/>
            <w:shd w:val="clear" w:color="auto" w:fill="CCEEFF"/>
          </w:tcPr>
          <w:p>
            <w:pPr>
              <w:spacing w:after="0"/>
              <w:rPr>
                <w:sz w:val="15"/>
                <w:szCs w:val="15"/>
                <w:color w:val="auto"/>
              </w:rPr>
            </w:pPr>
          </w:p>
        </w:tc>
        <w:tc>
          <w:tcPr>
            <w:tcW w:w="10120" w:type="dxa"/>
            <w:vAlign w:val="bottom"/>
            <w:gridSpan w:val="9"/>
            <w:shd w:val="clear" w:color="auto" w:fill="CCEEFF"/>
          </w:tcPr>
          <w:p>
            <w:pPr>
              <w:spacing w:after="0" w:line="177"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Report on Form 8-K filed with the SEC on August 4, 2023).</w:t>
              </w:r>
            </w:hyperlink>
          </w:p>
        </w:tc>
      </w:tr>
      <w:tr>
        <w:trPr>
          <w:trHeight w:val="37"/>
        </w:trPr>
        <w:tc>
          <w:tcPr>
            <w:tcW w:w="1120" w:type="dxa"/>
            <w:vAlign w:val="bottom"/>
            <w:shd w:val="clear" w:color="auto" w:fill="CCEEFF"/>
          </w:tcPr>
          <w:p>
            <w:pPr>
              <w:spacing w:after="0"/>
              <w:rPr>
                <w:sz w:val="3"/>
                <w:szCs w:val="3"/>
                <w:color w:val="auto"/>
              </w:rPr>
            </w:pPr>
          </w:p>
        </w:tc>
        <w:tc>
          <w:tcPr>
            <w:tcW w:w="110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10.28+</w:t>
            </w:r>
          </w:p>
        </w:tc>
        <w:tc>
          <w:tcPr>
            <w:tcW w:w="1012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EE"/>
              </w:rPr>
            </w:pPr>
            <w:hyperlink r:id="rId283">
              <w:r>
                <w:rPr>
                  <w:rFonts w:ascii="Times New Roman" w:cs="Times New Roman" w:eastAsia="Times New Roman" w:hAnsi="Times New Roman"/>
                  <w:sz w:val="16"/>
                  <w:szCs w:val="16"/>
                  <w:color w:val="0000EE"/>
                </w:rPr>
                <w:t>2021 Stock Plan and form of award agreements (incorporated by reference to Exhibit 10.24 to the Current Report on Form 8-K filed with the SEC on</w:t>
              </w:r>
            </w:hyperlink>
          </w:p>
        </w:tc>
      </w:tr>
      <w:tr>
        <w:trPr>
          <w:trHeight w:val="176"/>
        </w:trPr>
        <w:tc>
          <w:tcPr>
            <w:tcW w:w="1120" w:type="dxa"/>
            <w:vAlign w:val="bottom"/>
          </w:tcPr>
          <w:p>
            <w:pPr>
              <w:spacing w:after="0"/>
              <w:rPr>
                <w:sz w:val="15"/>
                <w:szCs w:val="15"/>
                <w:color w:val="auto"/>
              </w:rPr>
            </w:pPr>
          </w:p>
        </w:tc>
        <w:tc>
          <w:tcPr>
            <w:tcW w:w="10120" w:type="dxa"/>
            <w:vAlign w:val="bottom"/>
            <w:gridSpan w:val="9"/>
          </w:tcPr>
          <w:p>
            <w:pPr>
              <w:spacing w:after="0" w:line="177" w:lineRule="exact"/>
              <w:rPr>
                <w:rFonts w:ascii="Times New Roman" w:cs="Times New Roman" w:eastAsia="Times New Roman" w:hAnsi="Times New Roman"/>
                <w:sz w:val="16"/>
                <w:szCs w:val="16"/>
                <w:color w:val="0000EE"/>
              </w:rPr>
            </w:pPr>
            <w:hyperlink r:id="rId283">
              <w:r>
                <w:rPr>
                  <w:rFonts w:ascii="Times New Roman" w:cs="Times New Roman" w:eastAsia="Times New Roman" w:hAnsi="Times New Roman"/>
                  <w:sz w:val="16"/>
                  <w:szCs w:val="16"/>
                  <w:color w:val="0000EE"/>
                </w:rPr>
                <w:t>August 4, 2023).</w:t>
              </w:r>
            </w:hyperlink>
          </w:p>
        </w:tc>
      </w:tr>
      <w:tr>
        <w:trPr>
          <w:trHeight w:val="28"/>
        </w:trPr>
        <w:tc>
          <w:tcPr>
            <w:tcW w:w="112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68"/>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10.29+</w:t>
            </w:r>
          </w:p>
        </w:tc>
        <w:tc>
          <w:tcPr>
            <w:tcW w:w="10120" w:type="dxa"/>
            <w:vAlign w:val="bottom"/>
            <w:tcBorders>
              <w:bottom w:val="single" w:sz="8" w:color="0000EE"/>
            </w:tcBorders>
            <w:gridSpan w:val="9"/>
            <w:shd w:val="clear" w:color="auto" w:fill="CCEEFF"/>
          </w:tcPr>
          <w:p>
            <w:pPr>
              <w:spacing w:after="0" w:line="168" w:lineRule="exact"/>
              <w:rPr>
                <w:rFonts w:ascii="Times New Roman" w:cs="Times New Roman" w:eastAsia="Times New Roman" w:hAnsi="Times New Roman"/>
                <w:sz w:val="16"/>
                <w:szCs w:val="16"/>
                <w:color w:val="0000EE"/>
              </w:rPr>
            </w:pPr>
            <w:hyperlink r:id="rId284">
              <w:r>
                <w:rPr>
                  <w:rFonts w:ascii="Times New Roman" w:cs="Times New Roman" w:eastAsia="Times New Roman" w:hAnsi="Times New Roman"/>
                  <w:sz w:val="16"/>
                  <w:szCs w:val="16"/>
                  <w:color w:val="0000EE"/>
                </w:rPr>
                <w:t>2023 Equity Incentive Plan and form of award agreements (incorporated by reference to Exhibit 10.25 to the Current Report on Form 8-K filed with the</w:t>
              </w:r>
            </w:hyperlink>
          </w:p>
        </w:tc>
      </w:tr>
      <w:tr>
        <w:trPr>
          <w:trHeight w:val="193"/>
        </w:trPr>
        <w:tc>
          <w:tcPr>
            <w:tcW w:w="11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0000EE"/>
            </w:tcBorders>
            <w:gridSpan w:val="2"/>
            <w:shd w:val="clear" w:color="auto" w:fill="CCEEFF"/>
          </w:tcPr>
          <w:p>
            <w:pPr>
              <w:spacing w:after="0" w:line="177" w:lineRule="exact"/>
              <w:rPr>
                <w:rFonts w:ascii="Times New Roman" w:cs="Times New Roman" w:eastAsia="Times New Roman" w:hAnsi="Times New Roman"/>
                <w:sz w:val="16"/>
                <w:szCs w:val="16"/>
                <w:color w:val="0000EE"/>
              </w:rPr>
            </w:pPr>
            <w:hyperlink r:id="rId284">
              <w:r>
                <w:rPr>
                  <w:rFonts w:ascii="Times New Roman" w:cs="Times New Roman" w:eastAsia="Times New Roman" w:hAnsi="Times New Roman"/>
                  <w:sz w:val="16"/>
                  <w:szCs w:val="16"/>
                  <w:color w:val="0000EE"/>
                </w:rPr>
                <w:t>SEC on August 4, 2023).</w:t>
              </w:r>
            </w:hyperlink>
          </w:p>
        </w:tc>
        <w:tc>
          <w:tcPr>
            <w:tcW w:w="8460" w:type="dxa"/>
            <w:vAlign w:val="bottom"/>
            <w:tcBorders>
              <w:bottom w:val="single" w:sz="8" w:color="CCEEFF"/>
            </w:tcBorders>
            <w:gridSpan w:val="7"/>
            <w:shd w:val="clear" w:color="auto" w:fill="CCEEFF"/>
          </w:tcPr>
          <w:p>
            <w:pPr>
              <w:spacing w:after="0"/>
              <w:rPr>
                <w:sz w:val="16"/>
                <w:szCs w:val="16"/>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10.30#§</w:t>
            </w:r>
          </w:p>
        </w:tc>
        <w:tc>
          <w:tcPr>
            <w:tcW w:w="1012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EE"/>
              </w:rPr>
            </w:pPr>
            <w:hyperlink r:id="rId285">
              <w:r>
                <w:rPr>
                  <w:rFonts w:ascii="Times New Roman" w:cs="Times New Roman" w:eastAsia="Times New Roman" w:hAnsi="Times New Roman"/>
                  <w:sz w:val="16"/>
                  <w:szCs w:val="16"/>
                  <w:color w:val="0000EE"/>
                </w:rPr>
                <w:t>Master Services Agreement, dated as of February 1, 2024 and effective as of January 15, 2024, by and between Magna New Mobility USA, Inc. and</w:t>
              </w:r>
            </w:hyperlink>
          </w:p>
        </w:tc>
      </w:tr>
      <w:tr>
        <w:trPr>
          <w:trHeight w:val="176"/>
        </w:trPr>
        <w:tc>
          <w:tcPr>
            <w:tcW w:w="1120" w:type="dxa"/>
            <w:vAlign w:val="bottom"/>
          </w:tcPr>
          <w:p>
            <w:pPr>
              <w:spacing w:after="0"/>
              <w:rPr>
                <w:sz w:val="15"/>
                <w:szCs w:val="15"/>
                <w:color w:val="auto"/>
              </w:rPr>
            </w:pPr>
          </w:p>
        </w:tc>
        <w:tc>
          <w:tcPr>
            <w:tcW w:w="10120" w:type="dxa"/>
            <w:vAlign w:val="bottom"/>
            <w:gridSpan w:val="9"/>
          </w:tcPr>
          <w:p>
            <w:pPr>
              <w:spacing w:after="0" w:line="177" w:lineRule="exact"/>
              <w:rPr>
                <w:rFonts w:ascii="Times New Roman" w:cs="Times New Roman" w:eastAsia="Times New Roman" w:hAnsi="Times New Roman"/>
                <w:sz w:val="16"/>
                <w:szCs w:val="16"/>
                <w:color w:val="0000EE"/>
              </w:rPr>
            </w:pPr>
            <w:hyperlink r:id="rId285">
              <w:r>
                <w:rPr>
                  <w:rFonts w:ascii="Times New Roman" w:cs="Times New Roman" w:eastAsia="Times New Roman" w:hAnsi="Times New Roman"/>
                  <w:sz w:val="16"/>
                  <w:szCs w:val="16"/>
                  <w:color w:val="0000EE"/>
                </w:rPr>
                <w:t>Serve Operating Co. (incorporated by reference to Exhibit 10.1 to the Current Report on Form 8-K filed with the SEC on February 7, 2024).</w:t>
              </w:r>
            </w:hyperlink>
          </w:p>
        </w:tc>
      </w:tr>
      <w:tr>
        <w:trPr>
          <w:trHeight w:val="28"/>
        </w:trPr>
        <w:tc>
          <w:tcPr>
            <w:tcW w:w="112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68"/>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10.31#</w:t>
            </w:r>
          </w:p>
        </w:tc>
        <w:tc>
          <w:tcPr>
            <w:tcW w:w="10120" w:type="dxa"/>
            <w:vAlign w:val="bottom"/>
            <w:tcBorders>
              <w:bottom w:val="single" w:sz="8" w:color="0000EE"/>
            </w:tcBorders>
            <w:gridSpan w:val="9"/>
            <w:shd w:val="clear" w:color="auto" w:fill="CCEEFF"/>
          </w:tcPr>
          <w:p>
            <w:pPr>
              <w:spacing w:after="0" w:line="168" w:lineRule="exact"/>
              <w:rPr>
                <w:rFonts w:ascii="Times New Roman" w:cs="Times New Roman" w:eastAsia="Times New Roman" w:hAnsi="Times New Roman"/>
                <w:sz w:val="16"/>
                <w:szCs w:val="16"/>
                <w:color w:val="0000EE"/>
              </w:rPr>
            </w:pPr>
            <w:hyperlink r:id="rId286">
              <w:r>
                <w:rPr>
                  <w:rFonts w:ascii="Times New Roman" w:cs="Times New Roman" w:eastAsia="Times New Roman" w:hAnsi="Times New Roman"/>
                  <w:sz w:val="16"/>
                  <w:szCs w:val="16"/>
                  <w:color w:val="0000EE"/>
                </w:rPr>
                <w:t>Statement of Work, dated as of February 1, 2024 and effective as of January 15, 2024, by and between Magna New Mobility USA, Inc. and Serve</w:t>
              </w:r>
            </w:hyperlink>
          </w:p>
        </w:tc>
      </w:tr>
      <w:tr>
        <w:trPr>
          <w:trHeight w:val="193"/>
        </w:trPr>
        <w:tc>
          <w:tcPr>
            <w:tcW w:w="1120" w:type="dxa"/>
            <w:vAlign w:val="bottom"/>
            <w:tcBorders>
              <w:bottom w:val="single" w:sz="8" w:color="CCEEFF"/>
            </w:tcBorders>
            <w:shd w:val="clear" w:color="auto" w:fill="CCEEFF"/>
          </w:tcPr>
          <w:p>
            <w:pPr>
              <w:spacing w:after="0"/>
              <w:rPr>
                <w:sz w:val="16"/>
                <w:szCs w:val="16"/>
                <w:color w:val="auto"/>
              </w:rPr>
            </w:pPr>
          </w:p>
        </w:tc>
        <w:tc>
          <w:tcPr>
            <w:tcW w:w="8780" w:type="dxa"/>
            <w:vAlign w:val="bottom"/>
            <w:tcBorders>
              <w:bottom w:val="single" w:sz="8" w:color="0000EE"/>
            </w:tcBorders>
            <w:gridSpan w:val="6"/>
            <w:shd w:val="clear" w:color="auto" w:fill="CCEEFF"/>
          </w:tcPr>
          <w:p>
            <w:pPr>
              <w:spacing w:after="0" w:line="177" w:lineRule="exact"/>
              <w:rPr>
                <w:rFonts w:ascii="Times New Roman" w:cs="Times New Roman" w:eastAsia="Times New Roman" w:hAnsi="Times New Roman"/>
                <w:sz w:val="16"/>
                <w:szCs w:val="16"/>
                <w:color w:val="0000EE"/>
              </w:rPr>
            </w:pPr>
            <w:hyperlink r:id="rId286">
              <w:r>
                <w:rPr>
                  <w:rFonts w:ascii="Times New Roman" w:cs="Times New Roman" w:eastAsia="Times New Roman" w:hAnsi="Times New Roman"/>
                  <w:sz w:val="16"/>
                  <w:szCs w:val="16"/>
                  <w:color w:val="0000EE"/>
                </w:rPr>
                <w:t>Operating Co. (incorporated by reference to Exhibit 10.2 to the Current Report on Form 8-K filed with the SEC on February 7, 2024).</w:t>
              </w:r>
            </w:hyperlink>
          </w:p>
        </w:tc>
        <w:tc>
          <w:tcPr>
            <w:tcW w:w="1340" w:type="dxa"/>
            <w:vAlign w:val="bottom"/>
            <w:tcBorders>
              <w:bottom w:val="single" w:sz="8" w:color="CCEEFF"/>
            </w:tcBorders>
            <w:gridSpan w:val="3"/>
            <w:shd w:val="clear" w:color="auto" w:fill="CCEEFF"/>
          </w:tcPr>
          <w:p>
            <w:pPr>
              <w:spacing w:after="0"/>
              <w:rPr>
                <w:sz w:val="16"/>
                <w:szCs w:val="16"/>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16.1</w:t>
            </w:r>
          </w:p>
        </w:tc>
        <w:tc>
          <w:tcPr>
            <w:tcW w:w="1012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Letter from Grassi &amp; Co., CPAs, P.C. as to the change in certifying accountant, dated August 4, 2023 (incorporated by reference to Exhibit 16.1 to the</w:t>
              </w:r>
            </w:hyperlink>
          </w:p>
        </w:tc>
      </w:tr>
      <w:tr>
        <w:trPr>
          <w:trHeight w:val="176"/>
        </w:trPr>
        <w:tc>
          <w:tcPr>
            <w:tcW w:w="1120" w:type="dxa"/>
            <w:vAlign w:val="bottom"/>
          </w:tcPr>
          <w:p>
            <w:pPr>
              <w:spacing w:after="0"/>
              <w:rPr>
                <w:sz w:val="15"/>
                <w:szCs w:val="15"/>
                <w:color w:val="auto"/>
              </w:rPr>
            </w:pPr>
          </w:p>
        </w:tc>
        <w:tc>
          <w:tcPr>
            <w:tcW w:w="10120" w:type="dxa"/>
            <w:vAlign w:val="bottom"/>
            <w:gridSpan w:val="9"/>
          </w:tcPr>
          <w:p>
            <w:pPr>
              <w:spacing w:after="0" w:line="177" w:lineRule="exact"/>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Current Report on Form 8-K filed with the SEC on August 4, 2023).</w:t>
              </w:r>
            </w:hyperlink>
          </w:p>
        </w:tc>
      </w:tr>
      <w:tr>
        <w:trPr>
          <w:trHeight w:val="28"/>
        </w:trPr>
        <w:tc>
          <w:tcPr>
            <w:tcW w:w="1120" w:type="dxa"/>
            <w:vAlign w:val="bottom"/>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5"/>
        </w:trPr>
        <w:tc>
          <w:tcPr>
            <w:tcW w:w="11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21.1</w:t>
            </w:r>
          </w:p>
        </w:tc>
        <w:tc>
          <w:tcPr>
            <w:tcW w:w="9660" w:type="dxa"/>
            <w:vAlign w:val="bottom"/>
            <w:tcBorders>
              <w:bottom w:val="single" w:sz="8" w:color="0000EE"/>
            </w:tcBorders>
            <w:gridSpan w:val="8"/>
            <w:shd w:val="clear" w:color="auto" w:fill="CCEEFF"/>
          </w:tcPr>
          <w:p>
            <w:pPr>
              <w:spacing w:after="0" w:line="168" w:lineRule="exact"/>
              <w:rPr>
                <w:rFonts w:ascii="Times New Roman" w:cs="Times New Roman" w:eastAsia="Times New Roman" w:hAnsi="Times New Roman"/>
                <w:sz w:val="16"/>
                <w:szCs w:val="16"/>
                <w:color w:val="0000EE"/>
              </w:rPr>
            </w:pPr>
            <w:hyperlink r:id="rId288">
              <w:r>
                <w:rPr>
                  <w:rFonts w:ascii="Times New Roman" w:cs="Times New Roman" w:eastAsia="Times New Roman" w:hAnsi="Times New Roman"/>
                  <w:sz w:val="16"/>
                  <w:szCs w:val="16"/>
                  <w:color w:val="0000EE"/>
                </w:rPr>
                <w:t>Subsidiaries of the Registrant (incorporated by reference to Exhibit 21.1 to the Current Report on Form 8-K filed with the SEC on August 4, 2023).</w:t>
              </w:r>
            </w:hyperlink>
          </w:p>
        </w:tc>
        <w:tc>
          <w:tcPr>
            <w:tcW w:w="460" w:type="dxa"/>
            <w:vAlign w:val="bottom"/>
            <w:tcBorders>
              <w:bottom w:val="single" w:sz="8" w:color="CCEEFF"/>
            </w:tcBorders>
            <w:shd w:val="clear" w:color="auto" w:fill="CCEEFF"/>
          </w:tcPr>
          <w:p>
            <w:pPr>
              <w:spacing w:after="0"/>
              <w:rPr>
                <w:sz w:val="16"/>
                <w:szCs w:val="16"/>
                <w:color w:val="auto"/>
              </w:rPr>
            </w:pPr>
          </w:p>
        </w:tc>
      </w:tr>
      <w:tr>
        <w:trPr>
          <w:trHeight w:val="196"/>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0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Consent of dbbmckennon, independent registered public accounting firm.</w:t>
            </w:r>
          </w:p>
        </w:tc>
      </w:tr>
      <w:tr>
        <w:trPr>
          <w:trHeight w:val="19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23.2*</w:t>
            </w:r>
          </w:p>
        </w:tc>
        <w:tc>
          <w:tcPr>
            <w:tcW w:w="101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Consent of Orrick, Herrington &amp; Sutcliffe LLP (included in Exhibit 5.1).</w:t>
            </w:r>
          </w:p>
        </w:tc>
      </w:tr>
      <w:tr>
        <w:trPr>
          <w:trHeight w:val="196"/>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23.3*</w:t>
            </w:r>
          </w:p>
        </w:tc>
        <w:tc>
          <w:tcPr>
            <w:tcW w:w="10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Consent of Grassi &amp; Co., CPAs, P.C., independent registered public accounting firm.</w:t>
            </w:r>
          </w:p>
        </w:tc>
      </w:tr>
      <w:tr>
        <w:trPr>
          <w:trHeight w:val="19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23.4*</w:t>
            </w:r>
          </w:p>
        </w:tc>
        <w:tc>
          <w:tcPr>
            <w:tcW w:w="101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Consent of Raich Ende Malter &amp; Co. LLP, independent registered public accounting firm.</w:t>
            </w:r>
          </w:p>
        </w:tc>
      </w:tr>
      <w:tr>
        <w:trPr>
          <w:trHeight w:val="168"/>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24.1*</w:t>
            </w:r>
          </w:p>
        </w:tc>
        <w:tc>
          <w:tcPr>
            <w:tcW w:w="10120" w:type="dxa"/>
            <w:vAlign w:val="bottom"/>
            <w:gridSpan w:val="9"/>
          </w:tcPr>
          <w:p>
            <w:pPr>
              <w:spacing w:after="0" w:line="160" w:lineRule="exact"/>
              <w:rPr>
                <w:sz w:val="20"/>
                <w:szCs w:val="20"/>
                <w:color w:val="auto"/>
              </w:rPr>
            </w:pPr>
            <w:r>
              <w:rPr>
                <w:rFonts w:ascii="Times New Roman" w:cs="Times New Roman" w:eastAsia="Times New Roman" w:hAnsi="Times New Roman"/>
                <w:sz w:val="16"/>
                <w:szCs w:val="16"/>
                <w:color w:val="0000EE"/>
              </w:rPr>
              <w:t>Power of Attorney (included on the signature page hereto)</w:t>
            </w:r>
          </w:p>
        </w:tc>
      </w:tr>
      <w:tr>
        <w:trPr>
          <w:trHeight w:val="205"/>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101.INS</w:t>
            </w:r>
          </w:p>
        </w:tc>
        <w:tc>
          <w:tcPr>
            <w:tcW w:w="3820" w:type="dxa"/>
            <w:vAlign w:val="bottom"/>
            <w:tcBorders>
              <w:top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6300" w:type="dxa"/>
            <w:vAlign w:val="bottom"/>
            <w:gridSpan w:val="6"/>
            <w:shd w:val="clear" w:color="auto" w:fill="CCEEFF"/>
          </w:tcPr>
          <w:p>
            <w:pPr>
              <w:spacing w:after="0"/>
              <w:rPr>
                <w:sz w:val="17"/>
                <w:szCs w:val="17"/>
                <w:color w:val="auto"/>
              </w:rPr>
            </w:pPr>
          </w:p>
        </w:tc>
      </w:tr>
      <w:tr>
        <w:trPr>
          <w:trHeight w:val="196"/>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19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101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196"/>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19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101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196"/>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19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01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r>
        <w:trPr>
          <w:trHeight w:val="214"/>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10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Calculation of Filing Fee</w:t>
            </w:r>
          </w:p>
        </w:tc>
      </w:tr>
    </w:tbl>
    <w:p>
      <w:pPr>
        <w:spacing w:after="0" w:line="187" w:lineRule="exact"/>
        <w:rPr>
          <w:sz w:val="20"/>
          <w:szCs w:val="20"/>
          <w:color w:val="auto"/>
        </w:rPr>
      </w:pPr>
    </w:p>
    <w:p>
      <w:pPr>
        <w:ind w:left="302" w:hanging="302"/>
        <w:spacing w:after="0"/>
        <w:tabs>
          <w:tab w:leader="none" w:pos="302"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209" w:lineRule="exact"/>
        <w:rPr>
          <w:sz w:val="20"/>
          <w:szCs w:val="20"/>
          <w:color w:val="auto"/>
        </w:rPr>
      </w:pPr>
    </w:p>
    <w:p>
      <w:pPr>
        <w:ind w:left="302" w:hanging="302"/>
        <w:spacing w:after="0"/>
        <w:tabs>
          <w:tab w:leader="none" w:pos="30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any compensatory plan, contract or arrangement.</w:t>
      </w:r>
    </w:p>
    <w:p>
      <w:pPr>
        <w:spacing w:after="0" w:line="209" w:lineRule="exact"/>
        <w:rPr>
          <w:sz w:val="20"/>
          <w:szCs w:val="20"/>
          <w:color w:val="auto"/>
        </w:rPr>
      </w:pPr>
    </w:p>
    <w:p>
      <w:pPr>
        <w:ind w:left="302" w:hanging="302"/>
        <w:spacing w:after="0" w:line="294" w:lineRule="auto"/>
        <w:tabs>
          <w:tab w:leader="none" w:pos="30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(indicated by asterisks) have been omitted in accordance with Item 601(b)(10) of Regulation S-K. The registrant has furnished supplementally copies of the omitted portions of this exhibit to the SEC upon its request.</w:t>
      </w:r>
    </w:p>
    <w:p>
      <w:pPr>
        <w:spacing w:after="0" w:line="138" w:lineRule="exact"/>
        <w:rPr>
          <w:sz w:val="20"/>
          <w:szCs w:val="20"/>
          <w:color w:val="auto"/>
        </w:rPr>
      </w:pPr>
    </w:p>
    <w:p>
      <w:pPr>
        <w:ind w:left="302" w:hanging="302"/>
        <w:spacing w:after="0" w:line="294" w:lineRule="auto"/>
        <w:tabs>
          <w:tab w:leader="none" w:pos="30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exhibits or schedules to this exhibit have been omitted in accordance with Item 601(a)(5) of Regulation S-K. The registrant hereby agrees to furnish supplementally a copy of any omitted exhibit or schedule to the SEC upon its request.</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851"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requirements of the Securities Act, the registrant has duly caused this Registration Statement to be signed on its behalf by the undersigned, thereunto duly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authorized, in the City of Redwood City, State of California, on the</w:t>
            </w:r>
          </w:p>
        </w:tc>
        <w:tc>
          <w:tcPr>
            <w:tcW w:w="1120" w:type="dxa"/>
            <w:vAlign w:val="bottom"/>
          </w:tcPr>
          <w:p>
            <w:pPr>
              <w:ind w:left="320"/>
              <w:spacing w:after="0"/>
              <w:rPr>
                <w:sz w:val="20"/>
                <w:szCs w:val="20"/>
                <w:color w:val="auto"/>
              </w:rPr>
            </w:pP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day of</w:t>
            </w:r>
          </w:p>
        </w:tc>
        <w:tc>
          <w:tcPr>
            <w:tcW w:w="148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 2024.</w:t>
            </w:r>
          </w:p>
        </w:tc>
        <w:tc>
          <w:tcPr>
            <w:tcW w:w="3920" w:type="dxa"/>
            <w:vAlign w:val="bottom"/>
          </w:tcPr>
          <w:p>
            <w:pPr>
              <w:spacing w:after="0"/>
              <w:rPr>
                <w:sz w:val="24"/>
                <w:szCs w:val="24"/>
                <w:color w:val="auto"/>
              </w:rPr>
            </w:pPr>
          </w:p>
        </w:tc>
      </w:tr>
      <w:tr>
        <w:trPr>
          <w:trHeight w:val="268"/>
        </w:trPr>
        <w:tc>
          <w:tcPr>
            <w:tcW w:w="4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0" w:type="dxa"/>
            <w:vAlign w:val="bottom"/>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rPr>
              <w:t>Serve Robotics Inc.</w:t>
            </w:r>
          </w:p>
        </w:tc>
      </w:tr>
      <w:tr>
        <w:trPr>
          <w:trHeight w:val="396"/>
        </w:trPr>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By:</w:t>
            </w:r>
          </w:p>
        </w:tc>
      </w:tr>
      <w:tr>
        <w:trPr>
          <w:trHeight w:val="178"/>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Ali Kashani</w:t>
            </w:r>
          </w:p>
        </w:tc>
      </w:tr>
      <w:tr>
        <w:trPr>
          <w:trHeight w:val="216"/>
        </w:trPr>
        <w:tc>
          <w:tcPr>
            <w:tcW w:w="4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0" w:type="dxa"/>
            <w:vAlign w:val="bottom"/>
            <w:gridSpan w:val="2"/>
          </w:tcPr>
          <w:p>
            <w:pPr>
              <w:ind w:left="148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the undersigned directors and officers of the Company, hereby severally constitute and appoint Ali Kashani and Touraj Parang as our true and lawful attorneys, with full power to him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in connection with the registration under the Securities Act of equity securities of the Company, and to file or cause to be filed the same, with all exhibits thereto and other documents in connection therewith, with the SEC,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requirements of the Securities Act, this registration statement has been signed by the following persons in the capacities indicated on the date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19"/>
                <w:szCs w:val="19"/>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397"/>
        </w:trPr>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Chief Executive Officer, and Chairman of the Board of Directors</w:t>
            </w:r>
          </w:p>
        </w:tc>
        <w:tc>
          <w:tcPr>
            <w:tcW w:w="224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 2024</w:t>
            </w: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Ali Kashani</w:t>
            </w:r>
          </w:p>
        </w:tc>
        <w:tc>
          <w:tcPr>
            <w:tcW w:w="120" w:type="dxa"/>
            <w:vAlign w:val="bottom"/>
          </w:tcPr>
          <w:p>
            <w:pPr>
              <w:spacing w:after="0"/>
              <w:rPr>
                <w:sz w:val="18"/>
                <w:szCs w:val="18"/>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240" w:type="dxa"/>
            <w:vAlign w:val="bottom"/>
          </w:tcPr>
          <w:p>
            <w:pPr>
              <w:spacing w:after="0"/>
              <w:rPr>
                <w:sz w:val="18"/>
                <w:szCs w:val="18"/>
                <w:color w:val="auto"/>
              </w:rPr>
            </w:pPr>
          </w:p>
        </w:tc>
      </w:tr>
      <w:tr>
        <w:trPr>
          <w:trHeight w:val="380"/>
        </w:trPr>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President and Chief Operating Officer and Director</w:t>
            </w:r>
          </w:p>
        </w:tc>
        <w:tc>
          <w:tcPr>
            <w:tcW w:w="224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 2024</w:t>
            </w: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Touraj Parang</w:t>
            </w: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0"/>
        </w:trPr>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224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 2024</w:t>
            </w: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April Pannell</w:t>
            </w:r>
          </w:p>
        </w:tc>
        <w:tc>
          <w:tcPr>
            <w:tcW w:w="120" w:type="dxa"/>
            <w:vAlign w:val="bottom"/>
          </w:tcPr>
          <w:p>
            <w:pPr>
              <w:spacing w:after="0"/>
              <w:rPr>
                <w:sz w:val="18"/>
                <w:szCs w:val="18"/>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c>
          <w:tcPr>
            <w:tcW w:w="2240" w:type="dxa"/>
            <w:vAlign w:val="bottom"/>
          </w:tcPr>
          <w:p>
            <w:pPr>
              <w:spacing w:after="0"/>
              <w:rPr>
                <w:sz w:val="18"/>
                <w:szCs w:val="18"/>
                <w:color w:val="auto"/>
              </w:rPr>
            </w:pPr>
          </w:p>
        </w:tc>
      </w:tr>
      <w:tr>
        <w:trPr>
          <w:trHeight w:val="380"/>
        </w:trPr>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Senior Vice President of Hardware Engineering</w:t>
            </w:r>
          </w:p>
        </w:tc>
        <w:tc>
          <w:tcPr>
            <w:tcW w:w="224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 2024</w:t>
            </w: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Euan Abraham</w:t>
            </w: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0"/>
        </w:trPr>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 2024</w:t>
            </w: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James Buckly Jordan</w:t>
            </w: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0"/>
        </w:trPr>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 2024</w:t>
            </w: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Sarfraz Maredia</w:t>
            </w: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0"/>
        </w:trPr>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 2024</w:t>
            </w: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Ali Pourdad</w:t>
            </w: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0"/>
        </w:trPr>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 2024</w:t>
            </w: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Olivier Vincent</w:t>
            </w: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sectPr>
      <w:pgSz w:w="11900" w:h="16838" w:orient="portrait"/>
      <w:cols w:equalWidth="0" w:num="1">
        <w:col w:w="11240"/>
      </w:cols>
      <w:pgMar w:left="320" w:top="8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730"/>
    </w:lvl>
  </w:abstractNum>
  <w:abstractNum w:abstractNumId="1">
    <w:nsid w:val="6DE91B18"/>
    <w:multiLevelType w:val="hybridMultilevel"/>
    <w:lvl w:ilvl="0">
      <w:lvlJc w:val="left"/>
      <w:lvlText w:val="%1"/>
      <w:numFmt w:val="decimal"/>
      <w:start w:val="730"/>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lowerRoman"/>
      <w:start w:val="2"/>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lowerLetter"/>
      <w:start w:val="3"/>
    </w:lvl>
  </w:abstractNum>
  <w:abstractNum w:abstractNumId="14">
    <w:nsid w:val="520EEDD1"/>
    <w:multiLevelType w:val="hybridMultilevel"/>
    <w:lvl w:ilvl="0">
      <w:lvlJc w:val="left"/>
      <w:lvlText w:val="(%1)"/>
      <w:numFmt w:val="lowerLetter"/>
      <w:start w:val="5"/>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1)"/>
      <w:numFmt w:val="lowerLetter"/>
      <w:start w:val="3"/>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lowerRoman"/>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lowerRoman"/>
      <w:start w:val="3"/>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lowerRoman"/>
      <w:start w:val="4"/>
    </w:lvl>
  </w:abstractNum>
  <w:abstractNum w:abstractNumId="46">
    <w:nsid w:val="15014ACB"/>
    <w:multiLevelType w:val="hybridMultilevel"/>
    <w:lvl w:ilvl="0">
      <w:lvlJc w:val="left"/>
      <w:lvlText w:val="(%1)"/>
      <w:numFmt w:val="lowerRoman"/>
      <w:start w:val="2"/>
    </w:lvl>
  </w:abstractNum>
  <w:abstractNum w:abstractNumId="47">
    <w:nsid w:val="5F5E7FD0"/>
    <w:multiLevelType w:val="hybridMultilevel"/>
    <w:lvl w:ilvl="0">
      <w:lvlJc w:val="left"/>
      <w:lvlText w:val="(%1)"/>
      <w:numFmt w:val="decimal"/>
      <w:start w:val="26"/>
    </w:lvl>
  </w:abstractNum>
  <w:abstractNum w:abstractNumId="48">
    <w:nsid w:val="98A3148"/>
    <w:multiLevelType w:val="hybridMultilevel"/>
    <w:lvl w:ilvl="0">
      <w:lvlJc w:val="left"/>
      <w:lvlText w:val="(%1)"/>
      <w:numFmt w:val="lowerRoman"/>
      <w:start w:val="2"/>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1)"/>
      <w:numFmt w:val="lowerLetter"/>
      <w:start w:val="3"/>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3"/>
    </w:lvl>
  </w:abstractNum>
  <w:abstractNum w:abstractNumId="76">
    <w:nsid w:val="7FB7E0AA"/>
    <w:multiLevelType w:val="hybridMultilevel"/>
    <w:lvl w:ilvl="0">
      <w:lvlJc w:val="left"/>
      <w:lvlText w:val="(%1)"/>
      <w:numFmt w:val="lowerRoman"/>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1)"/>
      <w:numFmt w:val="decimal"/>
      <w:start w:val="2"/>
    </w:lvl>
  </w:abstractNum>
  <w:abstractNum w:abstractNumId="80">
    <w:nsid w:val="885E1B"/>
    <w:multiLevelType w:val="hybridMultilevel"/>
    <w:lvl w:ilvl="0">
      <w:lvlJc w:val="left"/>
      <w:lvlText w:val="%1."/>
      <w:numFmt w:val="decimal"/>
      <w:start w:val="11"/>
    </w:lvl>
  </w:abstractNum>
  <w:abstractNum w:abstractNumId="81">
    <w:nsid w:val="76272110"/>
    <w:multiLevelType w:val="hybridMultilevel"/>
    <w:lvl w:ilvl="0">
      <w:lvlJc w:val="left"/>
      <w:lvlText w:val="%1)"/>
      <w:numFmt w:val="lowerLetter"/>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decimal"/>
      <w:start w:val="3"/>
    </w:lvl>
  </w:abstractNum>
  <w:abstractNum w:abstractNumId="86">
    <w:nsid w:val="74DE0EE3"/>
    <w:multiLevelType w:val="hybridMultilevel"/>
    <w:lvl w:ilvl="0">
      <w:lvlJc w:val="left"/>
      <w:lvlText w:val="%1."/>
      <w:numFmt w:val="decimal"/>
      <w:start w:val="13"/>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64" Type="http://schemas.openxmlformats.org/officeDocument/2006/relationships/image" Target="media/image239.png"/><Relationship Id="rId279"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46" Type="http://schemas.openxmlformats.org/officeDocument/2006/relationships/hyperlink" Target="http://www.sec.gov/Archives/edgar/data/1832483/000121390023063662/ea180762ex2-1_patriciaacq.htm" TargetMode="External"/><Relationship Id="rId247" Type="http://schemas.openxmlformats.org/officeDocument/2006/relationships/hyperlink" Target="http://www.sec.gov/Archives/edgar/data/1832483/000121390023063662/ea180762ex3-1_patriciaacq.htm" TargetMode="External"/><Relationship Id="rId248" Type="http://schemas.openxmlformats.org/officeDocument/2006/relationships/hyperlink" Target="http://www.sec.gov/Archives/edgar/data/1832483/000121390023063662/ea180762ex3-2_patriciaacq.htm" TargetMode="External"/><Relationship Id="rId249" Type="http://schemas.openxmlformats.org/officeDocument/2006/relationships/hyperlink" Target="http://www.sec.gov/Archives/edgar/data/1832483/000121390023063662/ea180762ex3-3_patriciaacq.htm" TargetMode="External"/><Relationship Id="rId250" Type="http://schemas.openxmlformats.org/officeDocument/2006/relationships/hyperlink" Target="http://www.sec.gov/Archives/edgar/data/1832483/000121390023063662/ea180762ex4-1_patriciaacq.htm" TargetMode="External"/><Relationship Id="rId251" Type="http://schemas.openxmlformats.org/officeDocument/2006/relationships/hyperlink" Target="http://www.sec.gov/Archives/edgar/data/1832483/000121390023063662/ea180762ex4-2_patriciaacq.htm" TargetMode="External"/><Relationship Id="rId252" Type="http://schemas.openxmlformats.org/officeDocument/2006/relationships/hyperlink" Target="http://www.sec.gov/Archives/edgar/data/1832483/000121390023063662/ea180762ex4-3_patriciaacq.htm" TargetMode="External"/><Relationship Id="rId253" Type="http://schemas.openxmlformats.org/officeDocument/2006/relationships/hyperlink" Target="http://www.sec.gov/Archives/edgar/data/1832483/000121390023063662/ea180762ex4-4_patriciaacq.htm" TargetMode="External"/><Relationship Id="rId254" Type="http://schemas.openxmlformats.org/officeDocument/2006/relationships/hyperlink" Target="http://www.sec.gov/Archives/edgar/data/1832483/000121390024000500/ea190928ex4-1_serve.htm" TargetMode="External"/><Relationship Id="rId255" Type="http://schemas.openxmlformats.org/officeDocument/2006/relationships/hyperlink" Target="http://www.sec.gov/Archives/edgar/data/1832483/000121390024000500/ea190928ex4-2_serve.htm" TargetMode="External"/><Relationship Id="rId256" Type="http://schemas.openxmlformats.org/officeDocument/2006/relationships/hyperlink" Target="http://www.sec.gov/Archives/edgar/data/1832483/000121390024011153/ea192920ex10-3_serve.htm" TargetMode="External"/><Relationship Id="rId257" Type="http://schemas.openxmlformats.org/officeDocument/2006/relationships/hyperlink" Target="http://www.sec.gov/Archives/edgar/data/1832483/000121390023063662/ea180762ex10-1_patriciaacq.htm" TargetMode="External"/><Relationship Id="rId258" Type="http://schemas.openxmlformats.org/officeDocument/2006/relationships/hyperlink" Target="http://www.sec.gov/Archives/edgar/data/1832483/000121390023063662/ea180762ex10-2_patriciaacq.htm" TargetMode="External"/><Relationship Id="rId259" Type="http://schemas.openxmlformats.org/officeDocument/2006/relationships/hyperlink" Target="http://www.sec.gov/Archives/edgar/data/1832483/000121390023063662/ea180762ex10-3_patriciaacq.htm" TargetMode="External"/><Relationship Id="rId260" Type="http://schemas.openxmlformats.org/officeDocument/2006/relationships/hyperlink" Target="http://www.sec.gov/Archives/edgar/data/1832483/000121390023063662/ea180762ex10-4_patriciaacq.htm" TargetMode="External"/><Relationship Id="rId261" Type="http://schemas.openxmlformats.org/officeDocument/2006/relationships/hyperlink" Target="http://www.sec.gov/Archives/edgar/data/1832483/000121390023063662/ea180762ex10-5_patriciaacq.htm" TargetMode="External"/><Relationship Id="rId262" Type="http://schemas.openxmlformats.org/officeDocument/2006/relationships/hyperlink" Target="http://www.sec.gov/Archives/edgar/data/1832483/000121390023063662/ea180762ex10-6_patriciaacq.htm" TargetMode="External"/><Relationship Id="rId263" Type="http://schemas.openxmlformats.org/officeDocument/2006/relationships/hyperlink" Target="http://www.sec.gov/Archives/edgar/data/1832483/000121390023063662/ea180762ex10-7_patriciaacq.htm" TargetMode="External"/><Relationship Id="rId265" Type="http://schemas.openxmlformats.org/officeDocument/2006/relationships/hyperlink" Target="https://www.sec.gov/Archives/edgar/data/1832483/000121390023090587/ea188580ex10-8_serverobo.htm" TargetMode="External"/><Relationship Id="rId266" Type="http://schemas.openxmlformats.org/officeDocument/2006/relationships/hyperlink" Target="https://www.sec.gov/Archives/edgar/data/1832483/000121390023090587/ea188580ex10-9_serverobo.htm" TargetMode="External"/><Relationship Id="rId267" Type="http://schemas.openxmlformats.org/officeDocument/2006/relationships/hyperlink" Target="https://www.sec.gov/Archives/edgar/data/1832483/000121390023090587/ea188580ex10-10_serverobo.htm" TargetMode="External"/><Relationship Id="rId268" Type="http://schemas.openxmlformats.org/officeDocument/2006/relationships/hyperlink" Target="https://www.sec.gov/Archives/edgar/data/1832483/000121390023090587/ea188580ex10-11_serverobo.htm" TargetMode="External"/><Relationship Id="rId269" Type="http://schemas.openxmlformats.org/officeDocument/2006/relationships/hyperlink" Target="https://www.sec.gov/Archives/edgar/data/1832483/000121390023090587/ea188580ex10-12_serverobo.htm" TargetMode="External"/><Relationship Id="rId270" Type="http://schemas.openxmlformats.org/officeDocument/2006/relationships/hyperlink" Target="https://www.sec.gov/Archives/edgar/data/1832483/000121390023090587/ea188580ex10-13_serverobo.htm" TargetMode="External"/><Relationship Id="rId271" Type="http://schemas.openxmlformats.org/officeDocument/2006/relationships/hyperlink" Target="https://www.sec.gov/Archives/edgar/data/1832483/000121390023090587/ea188580ex10-14_serverobo.htm" TargetMode="External"/><Relationship Id="rId272" Type="http://schemas.openxmlformats.org/officeDocument/2006/relationships/hyperlink" Target="https://www.sec.gov/Archives/edgar/data/1832483/000121390023063662/ea180762ex10-14_patriciaacq.htm" TargetMode="External"/><Relationship Id="rId273" Type="http://schemas.openxmlformats.org/officeDocument/2006/relationships/hyperlink" Target="https://www.sec.gov/Archives/edgar/data/1832483/000121390023063662/ea180762ex10-15_patriciaacq.htm" TargetMode="External"/><Relationship Id="rId274" Type="http://schemas.openxmlformats.org/officeDocument/2006/relationships/hyperlink" Target="https://www.sec.gov/Archives/edgar/data/1832483/000121390023063662/ea180762ex10-16_patriciaacq.htm" TargetMode="External"/><Relationship Id="rId275" Type="http://schemas.openxmlformats.org/officeDocument/2006/relationships/hyperlink" Target="https://www.sec.gov/Archives/edgar/data/1832483/000121390023063662/ea180762ex10-17_patriciaacq.htm" TargetMode="External"/><Relationship Id="rId276" Type="http://schemas.openxmlformats.org/officeDocument/2006/relationships/hyperlink" Target="https://www.sec.gov/Archives/edgar/data/1832483/000121390023063662/ea180762ex10-18_patriciaacq.htm" TargetMode="External"/><Relationship Id="rId277" Type="http://schemas.openxmlformats.org/officeDocument/2006/relationships/hyperlink" Target="https://www.sec.gov/Archives/edgar/data/1832483/000121390023063662/ea180762ex10-19_patriciaacq.htm" TargetMode="External"/><Relationship Id="rId278" Type="http://schemas.openxmlformats.org/officeDocument/2006/relationships/hyperlink" Target="https://www.sec.gov/Archives/edgar/data/1832483/000121390023063662/ea180762ex10-20_patriciaacq.htm" TargetMode="External"/><Relationship Id="rId280" Type="http://schemas.openxmlformats.org/officeDocument/2006/relationships/hyperlink" Target="http://www.sec.gov/Archives/edgar/data/1832483/000121390023063662/ea180762ex10-21_patriciaacq.htm" TargetMode="External"/><Relationship Id="rId281" Type="http://schemas.openxmlformats.org/officeDocument/2006/relationships/hyperlink" Target="http://www.sec.gov/Archives/edgar/data/1832483/000121390023063662/ea180762ex10-22_patriciaacq.htm" TargetMode="External"/><Relationship Id="rId282" Type="http://schemas.openxmlformats.org/officeDocument/2006/relationships/hyperlink" Target="http://www.sec.gov/Archives/edgar/data/1832483/000121390023063662/ea180762ex10-23_patriciaacq.htm" TargetMode="External"/><Relationship Id="rId283" Type="http://schemas.openxmlformats.org/officeDocument/2006/relationships/hyperlink" Target="http://www.sec.gov/Archives/edgar/data/1832483/000121390023063662/ea180762ex10-24_patriciaacq.htm" TargetMode="External"/><Relationship Id="rId284" Type="http://schemas.openxmlformats.org/officeDocument/2006/relationships/hyperlink" Target="http://www.sec.gov/Archives/edgar/data/1832483/000121390023063662/ea180762ex10-25_patriciaacq.htm" TargetMode="External"/><Relationship Id="rId285" Type="http://schemas.openxmlformats.org/officeDocument/2006/relationships/hyperlink" Target="http://www.sec.gov/Archives/edgar/data/1832483/000121390024011153/ea192920ex10-1_serve.htm" TargetMode="External"/><Relationship Id="rId286" Type="http://schemas.openxmlformats.org/officeDocument/2006/relationships/hyperlink" Target="http://www.sec.gov/Archives/edgar/data/1832483/000121390024011153/ea192920ex10-2_serve.htm" TargetMode="External"/><Relationship Id="rId287" Type="http://schemas.openxmlformats.org/officeDocument/2006/relationships/hyperlink" Target="http://www.sec.gov/Archives/edgar/data/1832483/000121390023063662/ea180762ex16-1_patriciaacq.htm" TargetMode="External"/><Relationship Id="rId288" Type="http://schemas.openxmlformats.org/officeDocument/2006/relationships/hyperlink" Target="http://www.sec.gov/Archives/edgar/data/1832483/000121390023063662/ea180762ex21-1_patricia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2024-03-08T23:16:08Z</dcterms:created>
  <dcterms:modified xsi:type="dcterms:W3CDTF">2024-03-08T23:16:08Z</dcterms:modified>
</cp:coreProperties>
</file>