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220317-424b5_serve.htm"/>
      <w:bookmarkStart w:id="1" w:name="ksea0220317424b5_serve"/>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333-282389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October 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$100,000,000 maximum aggregate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78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equity distribution agreement (the “Distribution Agreement”) with Northland Securities, Inc. (“Northland”), B. Riley Securities, Inc. and Ladenburg Thalmann &amp; Co. Inc. (collectively, the “Agents”) relating to shares of our Common Stock, par value $0.0001 per share (the “Common Stock”), offered by this prospectus supplement (the “prospectus supplement”) and the accompanying base prospectus (together, the “prospectus”) pursuant to a continuous offering program. In accordance with the terms of the Distribution Agreement, we may offer and sell shares of our Common Stock having an aggregate offering price of up to $100,000,000 from time to time through the Agents, acting as our sales agents, or directly to the Agents, acting as principals.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will be made by any method permitted that is deemed an “at the market offering” as defined in Rule 415 under the Securities Act of 1933, as amended (the “Securities Act”), including sales made directly on or through The Nasdaq Capital Market (“Nasdaq”) or any other existing trading market in the United States for our Common Stock, sales made to or through a market maker other than on an exchange or otherwise, directly to the Agents as principal, in negotiated transactions at market prices prevailing at the time of sale or at prices related to such prevailing market prices and/or in any other method permitted by law. If we and the Agents agree on any method of distribution other than sales of shares of our Common Stock on or through Nasdaq or another existing trading market in the United States at market prices, we will file a further prospectus supplement providing all information about such offering as required by Rule 424(b) under the Securities Act. The Agents are not required to sell any specific number or dollar amount of securities, but the Agents have agreed to use their commercially reasonable efforts consistent with its normal sales and trading practices, as our sales agent.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Agent will be entitled to total compensation at a commission rate of 1.0% of the gross sales price per share sold, for an aggregate commission rate of 3.0% for all Agents. In connection with the sale of the Common Stock on our behalf, each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“SERV.” On November 5, 2024, the last reported sale price on Nasdaq of our Common Stock was $9.81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See “Risk Factors” beginning on page S-4 of this prospectus supplement, Item 1A “Risk Factors” beginning on page 18 of our Annual Report on Form 10-K for the fiscal year ended December 31, 2023, filed with the Securities and Exchange Commission (“SEC”) on February 29, 2024, and Item IA “</w:t>
      </w:r>
      <w:r>
        <w:rPr>
          <w:rFonts w:ascii="Times New Roman;Times;Serif" w:hAnsi="Times New Roman;Times;Serif"/>
          <w:b/>
          <w:i w:val="false"/>
          <w:caps w:val="false"/>
          <w:smallCaps w:val="false"/>
          <w:strike w:val="false"/>
          <w:dstrike w:val="false"/>
          <w:sz w:val="20"/>
          <w:u w:val="none"/>
          <w:effect w:val="none"/>
        </w:rPr>
        <w:t>Risk Factors</w:t>
      </w:r>
      <w:r>
        <w:rPr>
          <w:rFonts w:ascii="Times New Roman;Times;Serif" w:hAnsi="Times New Roman;Times;Serif"/>
          <w:b/>
          <w:i w:val="false"/>
          <w:caps w:val="false"/>
          <w:smallCaps w:val="false"/>
          <w:sz w:val="20"/>
        </w:rPr>
        <w:t>” beginning on page 32 of our Quarterly Report on Form 10-Q for the quarter ended September 30, 2024 filed with the SEC on November 7, 2024, each of which is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330"/>
        <w:gridCol w:w="1970"/>
        <w:gridCol w:w="1910"/>
      </w:tblGrid>
      <w:tr>
        <w:trPr/>
        <w:tc>
          <w:tcPr>
            <w:tcW w:w="23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Northland Capital Markets</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 Riley Securities, Inc.</w:t>
            </w:r>
          </w:p>
        </w:tc>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Ladenburg Thalmann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November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4805"/>
        <w:gridCol w:w="530"/>
      </w:tblGrid>
      <w:tr>
        <w:trPr/>
        <w:tc>
          <w:tcPr>
            <w:tcW w:w="4805"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4805" w:type="dxa"/>
            <w:tcBorders/>
            <w:shd w:fill="CCEEFF" w:val="clear"/>
            <w:vAlign w:val="center"/>
          </w:tcPr>
          <w:p>
            <w:pPr>
              <w:pStyle w:val="TableContents"/>
              <w:bidi w:val="0"/>
              <w:spacing w:before="0" w:after="283"/>
              <w:jc w:val="left"/>
              <w:rPr/>
            </w:pPr>
            <w:hyperlink w:anchor="n_001">
              <w:r>
                <w:rPr>
                  <w:rStyle w:val="InternetLink"/>
                </w:rPr>
                <w:t>About This Prospectus Supplement</w:t>
              </w:r>
            </w:hyperlink>
          </w:p>
        </w:tc>
        <w:tc>
          <w:tcPr>
            <w:tcW w:w="530" w:type="dxa"/>
            <w:tcBorders/>
            <w:shd w:fill="CCEEFF" w:val="clear"/>
            <w:vAlign w:val="center"/>
          </w:tcPr>
          <w:p>
            <w:pPr>
              <w:pStyle w:val="TableContents"/>
              <w:bidi w:val="0"/>
              <w:spacing w:before="0" w:after="283"/>
              <w:jc w:val="center"/>
              <w:rPr/>
            </w:pPr>
            <w:r>
              <w:rPr/>
              <w:t>S-ii</w:t>
            </w:r>
          </w:p>
        </w:tc>
      </w:tr>
      <w:tr>
        <w:trPr/>
        <w:tc>
          <w:tcPr>
            <w:tcW w:w="4805" w:type="dxa"/>
            <w:tcBorders/>
            <w:shd w:fill="FFFFFF" w:val="clear"/>
            <w:vAlign w:val="center"/>
          </w:tcPr>
          <w:p>
            <w:pPr>
              <w:pStyle w:val="TableContents"/>
              <w:bidi w:val="0"/>
              <w:spacing w:before="0" w:after="283"/>
              <w:jc w:val="left"/>
              <w:rPr/>
            </w:pPr>
            <w:hyperlink w:anchor="n_012">
              <w:r>
                <w:rPr>
                  <w:rStyle w:val="InternetLink"/>
                </w:rPr>
                <w:t>Where You Can Find More Information</w:t>
              </w:r>
            </w:hyperlink>
          </w:p>
        </w:tc>
        <w:tc>
          <w:tcPr>
            <w:tcW w:w="530" w:type="dxa"/>
            <w:tcBorders/>
            <w:shd w:fill="FFFFFF" w:val="clear"/>
            <w:vAlign w:val="center"/>
          </w:tcPr>
          <w:p>
            <w:pPr>
              <w:pStyle w:val="TableContents"/>
              <w:bidi w:val="0"/>
              <w:spacing w:before="0" w:after="283"/>
              <w:jc w:val="center"/>
              <w:rPr/>
            </w:pPr>
            <w:r>
              <w:rPr/>
              <w:t>S-iii</w:t>
            </w:r>
          </w:p>
        </w:tc>
      </w:tr>
      <w:tr>
        <w:trPr/>
        <w:tc>
          <w:tcPr>
            <w:tcW w:w="4805" w:type="dxa"/>
            <w:tcBorders/>
            <w:shd w:fill="CCEEFF" w:val="clear"/>
            <w:vAlign w:val="center"/>
          </w:tcPr>
          <w:p>
            <w:pPr>
              <w:pStyle w:val="TableContents"/>
              <w:bidi w:val="0"/>
              <w:spacing w:before="0" w:after="283"/>
              <w:jc w:val="left"/>
              <w:rPr/>
            </w:pPr>
            <w:hyperlink w:anchor="n_011">
              <w:r>
                <w:rPr>
                  <w:rStyle w:val="InternetLink"/>
                </w:rPr>
                <w:t>Incorporation of Certain Information by Reference</w:t>
              </w:r>
            </w:hyperlink>
          </w:p>
        </w:tc>
        <w:tc>
          <w:tcPr>
            <w:tcW w:w="530" w:type="dxa"/>
            <w:tcBorders/>
            <w:shd w:fill="CCEEFF" w:val="clear"/>
            <w:vAlign w:val="center"/>
          </w:tcPr>
          <w:p>
            <w:pPr>
              <w:pStyle w:val="TableContents"/>
              <w:bidi w:val="0"/>
              <w:spacing w:before="0" w:after="283"/>
              <w:jc w:val="center"/>
              <w:rPr/>
            </w:pPr>
            <w:r>
              <w:rPr/>
              <w:t>S-iv</w:t>
            </w:r>
          </w:p>
        </w:tc>
      </w:tr>
      <w:tr>
        <w:trPr/>
        <w:tc>
          <w:tcPr>
            <w:tcW w:w="4805" w:type="dxa"/>
            <w:tcBorders/>
            <w:shd w:fill="FFFFFF" w:val="clear"/>
            <w:vAlign w:val="center"/>
          </w:tcPr>
          <w:p>
            <w:pPr>
              <w:pStyle w:val="TableContents"/>
              <w:bidi w:val="0"/>
              <w:spacing w:before="0" w:after="283"/>
              <w:jc w:val="left"/>
              <w:rPr/>
            </w:pPr>
            <w:hyperlink w:anchor="n_002">
              <w:r>
                <w:rPr>
                  <w:rStyle w:val="InternetLink"/>
                </w:rPr>
                <w:t>Summary</w:t>
              </w:r>
            </w:hyperlink>
          </w:p>
        </w:tc>
        <w:tc>
          <w:tcPr>
            <w:tcW w:w="530" w:type="dxa"/>
            <w:tcBorders/>
            <w:shd w:fill="FFFFFF" w:val="clear"/>
            <w:vAlign w:val="center"/>
          </w:tcPr>
          <w:p>
            <w:pPr>
              <w:pStyle w:val="TableContents"/>
              <w:bidi w:val="0"/>
              <w:spacing w:before="0" w:after="283"/>
              <w:jc w:val="center"/>
              <w:rPr/>
            </w:pPr>
            <w:r>
              <w:rPr/>
              <w:t>S-1</w:t>
            </w:r>
          </w:p>
        </w:tc>
      </w:tr>
      <w:tr>
        <w:trPr/>
        <w:tc>
          <w:tcPr>
            <w:tcW w:w="4805" w:type="dxa"/>
            <w:tcBorders/>
            <w:shd w:fill="CCEEFF" w:val="clear"/>
            <w:vAlign w:val="center"/>
          </w:tcPr>
          <w:p>
            <w:pPr>
              <w:pStyle w:val="TableContents"/>
              <w:bidi w:val="0"/>
              <w:spacing w:before="0" w:after="283"/>
              <w:jc w:val="left"/>
              <w:rPr/>
            </w:pPr>
            <w:hyperlink w:anchor="n_003">
              <w:r>
                <w:rPr>
                  <w:rStyle w:val="InternetLink"/>
                </w:rPr>
                <w:t>The Offering</w:t>
              </w:r>
            </w:hyperlink>
          </w:p>
        </w:tc>
        <w:tc>
          <w:tcPr>
            <w:tcW w:w="530" w:type="dxa"/>
            <w:tcBorders/>
            <w:shd w:fill="CCEEFF" w:val="clear"/>
            <w:vAlign w:val="center"/>
          </w:tcPr>
          <w:p>
            <w:pPr>
              <w:pStyle w:val="TableContents"/>
              <w:bidi w:val="0"/>
              <w:spacing w:before="0" w:after="283"/>
              <w:jc w:val="center"/>
              <w:rPr/>
            </w:pPr>
            <w:r>
              <w:rPr/>
              <w:t>S-3</w:t>
            </w:r>
          </w:p>
        </w:tc>
      </w:tr>
      <w:tr>
        <w:trPr/>
        <w:tc>
          <w:tcPr>
            <w:tcW w:w="4805" w:type="dxa"/>
            <w:tcBorders/>
            <w:shd w:fill="FFFFFF" w:val="clear"/>
            <w:vAlign w:val="center"/>
          </w:tcPr>
          <w:p>
            <w:pPr>
              <w:pStyle w:val="TableContents"/>
              <w:bidi w:val="0"/>
              <w:spacing w:before="0" w:after="283"/>
              <w:jc w:val="left"/>
              <w:rPr/>
            </w:pPr>
            <w:hyperlink w:anchor="n_004">
              <w:r>
                <w:rPr>
                  <w:rStyle w:val="InternetLink"/>
                </w:rPr>
                <w:t>Risk Factors</w:t>
              </w:r>
            </w:hyperlink>
          </w:p>
        </w:tc>
        <w:tc>
          <w:tcPr>
            <w:tcW w:w="530" w:type="dxa"/>
            <w:tcBorders/>
            <w:shd w:fill="FFFFFF" w:val="clear"/>
            <w:vAlign w:val="center"/>
          </w:tcPr>
          <w:p>
            <w:pPr>
              <w:pStyle w:val="TableContents"/>
              <w:bidi w:val="0"/>
              <w:spacing w:before="0" w:after="283"/>
              <w:jc w:val="center"/>
              <w:rPr/>
            </w:pPr>
            <w:r>
              <w:rPr/>
              <w:t>S-4</w:t>
            </w:r>
          </w:p>
        </w:tc>
      </w:tr>
      <w:tr>
        <w:trPr/>
        <w:tc>
          <w:tcPr>
            <w:tcW w:w="4805" w:type="dxa"/>
            <w:tcBorders/>
            <w:shd w:fill="CCEEFF" w:val="clear"/>
            <w:vAlign w:val="center"/>
          </w:tcPr>
          <w:p>
            <w:pPr>
              <w:pStyle w:val="TableContents"/>
              <w:bidi w:val="0"/>
              <w:spacing w:before="0" w:after="283"/>
              <w:jc w:val="left"/>
              <w:rPr/>
            </w:pPr>
            <w:hyperlink w:anchor="n_005">
              <w:r>
                <w:rPr>
                  <w:rStyle w:val="InternetLink"/>
                </w:rPr>
                <w:t>Forward-Looking Statements</w:t>
              </w:r>
            </w:hyperlink>
          </w:p>
        </w:tc>
        <w:tc>
          <w:tcPr>
            <w:tcW w:w="530" w:type="dxa"/>
            <w:tcBorders/>
            <w:shd w:fill="CCEEFF" w:val="clear"/>
            <w:vAlign w:val="center"/>
          </w:tcPr>
          <w:p>
            <w:pPr>
              <w:pStyle w:val="TableContents"/>
              <w:bidi w:val="0"/>
              <w:spacing w:before="0" w:after="283"/>
              <w:jc w:val="center"/>
              <w:rPr/>
            </w:pPr>
            <w:r>
              <w:rPr/>
              <w:t>S-8</w:t>
            </w:r>
          </w:p>
        </w:tc>
      </w:tr>
      <w:tr>
        <w:trPr/>
        <w:tc>
          <w:tcPr>
            <w:tcW w:w="4805" w:type="dxa"/>
            <w:tcBorders/>
            <w:shd w:fill="FFFFFF" w:val="clear"/>
            <w:vAlign w:val="center"/>
          </w:tcPr>
          <w:p>
            <w:pPr>
              <w:pStyle w:val="TableContents"/>
              <w:bidi w:val="0"/>
              <w:spacing w:before="0" w:after="283"/>
              <w:jc w:val="left"/>
              <w:rPr/>
            </w:pPr>
            <w:hyperlink w:anchor="n_006">
              <w:r>
                <w:rPr>
                  <w:rStyle w:val="InternetLink"/>
                </w:rPr>
                <w:t>Use of Proceeds</w:t>
              </w:r>
            </w:hyperlink>
          </w:p>
        </w:tc>
        <w:tc>
          <w:tcPr>
            <w:tcW w:w="530" w:type="dxa"/>
            <w:tcBorders/>
            <w:shd w:fill="FFFFFF" w:val="clear"/>
            <w:vAlign w:val="center"/>
          </w:tcPr>
          <w:p>
            <w:pPr>
              <w:pStyle w:val="TableContents"/>
              <w:bidi w:val="0"/>
              <w:spacing w:before="0" w:after="283"/>
              <w:jc w:val="center"/>
              <w:rPr/>
            </w:pPr>
            <w:r>
              <w:rPr/>
              <w:t>S-9</w:t>
            </w:r>
          </w:p>
        </w:tc>
      </w:tr>
      <w:tr>
        <w:trPr/>
        <w:tc>
          <w:tcPr>
            <w:tcW w:w="4805" w:type="dxa"/>
            <w:tcBorders/>
            <w:shd w:fill="CCEEFF" w:val="clear"/>
            <w:vAlign w:val="center"/>
          </w:tcPr>
          <w:p>
            <w:pPr>
              <w:pStyle w:val="TableContents"/>
              <w:bidi w:val="0"/>
              <w:spacing w:before="0" w:after="283"/>
              <w:jc w:val="left"/>
              <w:rPr/>
            </w:pPr>
            <w:hyperlink w:anchor="d_001">
              <w:r>
                <w:rPr>
                  <w:rStyle w:val="InternetLink"/>
                </w:rPr>
                <w:t>Dilution</w:t>
              </w:r>
            </w:hyperlink>
          </w:p>
        </w:tc>
        <w:tc>
          <w:tcPr>
            <w:tcW w:w="530" w:type="dxa"/>
            <w:tcBorders/>
            <w:shd w:fill="CCEEFF" w:val="clear"/>
            <w:vAlign w:val="center"/>
          </w:tcPr>
          <w:p>
            <w:pPr>
              <w:pStyle w:val="TableContents"/>
              <w:bidi w:val="0"/>
              <w:spacing w:before="0" w:after="283"/>
              <w:jc w:val="center"/>
              <w:rPr/>
            </w:pPr>
            <w:r>
              <w:rPr/>
              <w:t>S-10</w:t>
            </w:r>
          </w:p>
        </w:tc>
      </w:tr>
      <w:tr>
        <w:trPr/>
        <w:tc>
          <w:tcPr>
            <w:tcW w:w="4805" w:type="dxa"/>
            <w:tcBorders/>
            <w:shd w:fill="FFFFFF" w:val="clear"/>
            <w:vAlign w:val="center"/>
          </w:tcPr>
          <w:p>
            <w:pPr>
              <w:pStyle w:val="TableContents"/>
              <w:bidi w:val="0"/>
              <w:spacing w:before="0" w:after="283"/>
              <w:jc w:val="left"/>
              <w:rPr/>
            </w:pPr>
            <w:hyperlink w:anchor="n_007">
              <w:r>
                <w:rPr>
                  <w:rStyle w:val="InternetLink"/>
                </w:rPr>
                <w:t>Dividend Policy</w:t>
              </w:r>
            </w:hyperlink>
          </w:p>
        </w:tc>
        <w:tc>
          <w:tcPr>
            <w:tcW w:w="530" w:type="dxa"/>
            <w:tcBorders/>
            <w:shd w:fill="FFFFFF" w:val="clear"/>
            <w:vAlign w:val="center"/>
          </w:tcPr>
          <w:p>
            <w:pPr>
              <w:pStyle w:val="TableContents"/>
              <w:bidi w:val="0"/>
              <w:spacing w:before="0" w:after="283"/>
              <w:jc w:val="center"/>
              <w:rPr/>
            </w:pPr>
            <w:r>
              <w:rPr/>
              <w:t>S-11</w:t>
            </w:r>
          </w:p>
        </w:tc>
      </w:tr>
      <w:tr>
        <w:trPr/>
        <w:tc>
          <w:tcPr>
            <w:tcW w:w="4805" w:type="dxa"/>
            <w:tcBorders/>
            <w:shd w:fill="CCEEFF" w:val="clear"/>
            <w:vAlign w:val="center"/>
          </w:tcPr>
          <w:p>
            <w:pPr>
              <w:pStyle w:val="TableContents"/>
              <w:bidi w:val="0"/>
              <w:spacing w:before="0" w:after="283"/>
              <w:jc w:val="left"/>
              <w:rPr/>
            </w:pPr>
            <w:hyperlink w:anchor="n_008">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S-12</w:t>
            </w:r>
          </w:p>
        </w:tc>
      </w:tr>
      <w:tr>
        <w:trPr/>
        <w:tc>
          <w:tcPr>
            <w:tcW w:w="4805" w:type="dxa"/>
            <w:tcBorders/>
            <w:shd w:fill="FFFFFF" w:val="clear"/>
            <w:vAlign w:val="center"/>
          </w:tcPr>
          <w:p>
            <w:pPr>
              <w:pStyle w:val="TableContents"/>
              <w:bidi w:val="0"/>
              <w:spacing w:before="0" w:after="283"/>
              <w:jc w:val="left"/>
              <w:rPr/>
            </w:pPr>
            <w:hyperlink w:anchor="n_009">
              <w:r>
                <w:rPr>
                  <w:rStyle w:val="InternetLink"/>
                </w:rPr>
                <w:t>Legal Matters</w:t>
              </w:r>
            </w:hyperlink>
          </w:p>
        </w:tc>
        <w:tc>
          <w:tcPr>
            <w:tcW w:w="530" w:type="dxa"/>
            <w:tcBorders/>
            <w:shd w:fill="FFFFFF" w:val="clear"/>
            <w:vAlign w:val="center"/>
          </w:tcPr>
          <w:p>
            <w:pPr>
              <w:pStyle w:val="TableContents"/>
              <w:bidi w:val="0"/>
              <w:spacing w:before="0" w:after="283"/>
              <w:jc w:val="center"/>
              <w:rPr/>
            </w:pPr>
            <w:r>
              <w:rPr/>
              <w:t>S-13</w:t>
            </w:r>
          </w:p>
        </w:tc>
      </w:tr>
      <w:tr>
        <w:trPr/>
        <w:tc>
          <w:tcPr>
            <w:tcW w:w="4805" w:type="dxa"/>
            <w:tcBorders/>
            <w:shd w:fill="CCEEFF" w:val="clear"/>
            <w:vAlign w:val="center"/>
          </w:tcPr>
          <w:p>
            <w:pPr>
              <w:pStyle w:val="TableContents"/>
              <w:bidi w:val="0"/>
              <w:spacing w:before="0" w:after="283"/>
              <w:jc w:val="left"/>
              <w:rPr/>
            </w:pPr>
            <w:hyperlink w:anchor="n_010">
              <w:r>
                <w:rPr>
                  <w:rStyle w:val="InternetLink"/>
                </w:rPr>
                <w:t>Experts</w:t>
              </w:r>
            </w:hyperlink>
          </w:p>
        </w:tc>
        <w:tc>
          <w:tcPr>
            <w:tcW w:w="530" w:type="dxa"/>
            <w:tcBorders/>
            <w:shd w:fill="CCEEFF" w:val="clear"/>
            <w:vAlign w:val="center"/>
          </w:tcPr>
          <w:p>
            <w:pPr>
              <w:pStyle w:val="TableContents"/>
              <w:bidi w:val="0"/>
              <w:spacing w:before="0" w:after="283"/>
              <w:jc w:val="center"/>
              <w:rPr/>
            </w:pPr>
            <w:r>
              <w:rPr/>
              <w:t>S-14</w:t>
            </w:r>
          </w:p>
        </w:tc>
      </w:tr>
    </w:tbl>
    <w:p>
      <w:pPr>
        <w:pStyle w:val="TextBody"/>
        <w:bidi w:val="0"/>
        <w:spacing w:before="0" w:after="283"/>
        <w:jc w:val="left"/>
        <w:rPr/>
      </w:pPr>
      <w:r>
        <w:rPr/>
        <w:t> </w:t>
      </w:r>
    </w:p>
    <w:p>
      <w:pPr>
        <w:pStyle w:val="TextBody"/>
        <w:bidi w:val="0"/>
        <w:spacing w:before="0" w:after="283"/>
        <w:jc w:val="left"/>
        <w:rPr/>
      </w:pPr>
      <w:r>
        <w:rPr/>
        <w:t> </w:t>
      </w:r>
    </w:p>
    <w:tbl>
      <w:tblPr>
        <w:tblW w:w="8680" w:type="dxa"/>
        <w:jc w:val="left"/>
        <w:tblInd w:w="0" w:type="dxa"/>
        <w:tblLayout w:type="fixed"/>
        <w:tblCellMar>
          <w:top w:w="0" w:type="dxa"/>
          <w:left w:w="0" w:type="dxa"/>
          <w:bottom w:w="0" w:type="dxa"/>
          <w:right w:w="0" w:type="dxa"/>
        </w:tblCellMar>
      </w:tblPr>
      <w:tblGrid>
        <w:gridCol w:w="8150"/>
        <w:gridCol w:w="530"/>
      </w:tblGrid>
      <w:tr>
        <w:trPr/>
        <w:tc>
          <w:tcPr>
            <w:tcW w:w="815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ind w:left="0" w:right="0" w:hanging="720"/>
              <w:jc w:val="center"/>
              <w:rPr>
                <w:b/>
              </w:rPr>
            </w:pPr>
            <w:r>
              <w:rPr>
                <w:b/>
              </w:rPr>
              <w:t>Page</w:t>
            </w:r>
          </w:p>
        </w:tc>
      </w:tr>
      <w:tr>
        <w:trPr/>
        <w:tc>
          <w:tcPr>
            <w:tcW w:w="8150" w:type="dxa"/>
            <w:tcBorders/>
            <w:shd w:fill="CCEEFF" w:val="clear"/>
            <w:vAlign w:val="center"/>
          </w:tcPr>
          <w:p>
            <w:pPr>
              <w:pStyle w:val="TableContents"/>
              <w:bidi w:val="0"/>
              <w:spacing w:before="0" w:after="283"/>
              <w:jc w:val="left"/>
              <w:rPr/>
            </w:pPr>
            <w:hyperlink w:anchor="a_001">
              <w:r>
                <w:rPr>
                  <w:rStyle w:val="InternetLink"/>
                </w:rPr>
                <w:t>ABOUT THIS BASE PROSPECTUS</w:t>
              </w:r>
            </w:hyperlink>
          </w:p>
        </w:tc>
        <w:tc>
          <w:tcPr>
            <w:tcW w:w="530" w:type="dxa"/>
            <w:tcBorders/>
            <w:shd w:fill="CCEEFF" w:val="clear"/>
            <w:vAlign w:val="center"/>
          </w:tcPr>
          <w:p>
            <w:pPr>
              <w:pStyle w:val="TableContents"/>
              <w:bidi w:val="0"/>
              <w:spacing w:before="0" w:after="283"/>
              <w:ind w:left="0" w:right="0" w:hanging="720"/>
              <w:jc w:val="center"/>
              <w:rPr/>
            </w:pPr>
            <w:r>
              <w:rPr/>
              <w:t>ii</w:t>
            </w:r>
          </w:p>
        </w:tc>
      </w:tr>
      <w:tr>
        <w:trPr/>
        <w:tc>
          <w:tcPr>
            <w:tcW w:w="815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530" w:type="dxa"/>
            <w:tcBorders/>
            <w:shd w:fill="FFFFFF" w:val="clear"/>
            <w:vAlign w:val="center"/>
          </w:tcPr>
          <w:p>
            <w:pPr>
              <w:pStyle w:val="TableContents"/>
              <w:bidi w:val="0"/>
              <w:spacing w:before="0" w:after="283"/>
              <w:ind w:left="0" w:right="0" w:hanging="720"/>
              <w:jc w:val="center"/>
              <w:rPr/>
            </w:pPr>
            <w:r>
              <w:rPr/>
              <w:t>1</w:t>
            </w:r>
          </w:p>
        </w:tc>
      </w:tr>
      <w:tr>
        <w:trPr/>
        <w:tc>
          <w:tcPr>
            <w:tcW w:w="8150" w:type="dxa"/>
            <w:tcBorders/>
            <w:shd w:fill="CCEEFF" w:val="clear"/>
            <w:vAlign w:val="center"/>
          </w:tcPr>
          <w:p>
            <w:pPr>
              <w:pStyle w:val="TableContents"/>
              <w:bidi w:val="0"/>
              <w:spacing w:before="0" w:after="283"/>
              <w:jc w:val="left"/>
              <w:rPr/>
            </w:pPr>
            <w:hyperlink w:anchor="a_003">
              <w:r>
                <w:rPr>
                  <w:rStyle w:val="InternetLink"/>
                </w:rPr>
                <w:t>RISK FACTORS</w:t>
              </w:r>
            </w:hyperlink>
          </w:p>
        </w:tc>
        <w:tc>
          <w:tcPr>
            <w:tcW w:w="530" w:type="dxa"/>
            <w:tcBorders/>
            <w:shd w:fill="CCEEFF" w:val="clear"/>
            <w:vAlign w:val="center"/>
          </w:tcPr>
          <w:p>
            <w:pPr>
              <w:pStyle w:val="TableContents"/>
              <w:bidi w:val="0"/>
              <w:spacing w:before="0" w:after="283"/>
              <w:ind w:left="0" w:right="0" w:hanging="720"/>
              <w:jc w:val="center"/>
              <w:rPr/>
            </w:pPr>
            <w:r>
              <w:rPr/>
              <w:t>4</w:t>
            </w:r>
          </w:p>
        </w:tc>
      </w:tr>
      <w:tr>
        <w:trPr/>
        <w:tc>
          <w:tcPr>
            <w:tcW w:w="8150" w:type="dxa"/>
            <w:tcBorders/>
            <w:shd w:fill="FFFFFF" w:val="clear"/>
            <w:vAlign w:val="center"/>
          </w:tcPr>
          <w:p>
            <w:pPr>
              <w:pStyle w:val="TableContents"/>
              <w:bidi w:val="0"/>
              <w:spacing w:before="0" w:after="283"/>
              <w:jc w:val="left"/>
              <w:rPr/>
            </w:pPr>
            <w:hyperlink w:anchor="a_004">
              <w:r>
                <w:rPr>
                  <w:rStyle w:val="InternetLink"/>
                </w:rPr>
                <w:t>CAUTIONARY NOTE REGARDING FORWARD LOOKING INFORMATION</w:t>
              </w:r>
            </w:hyperlink>
          </w:p>
        </w:tc>
        <w:tc>
          <w:tcPr>
            <w:tcW w:w="530" w:type="dxa"/>
            <w:tcBorders/>
            <w:shd w:fill="FFFFFF" w:val="clear"/>
            <w:vAlign w:val="center"/>
          </w:tcPr>
          <w:p>
            <w:pPr>
              <w:pStyle w:val="TableContents"/>
              <w:bidi w:val="0"/>
              <w:spacing w:before="0" w:after="283"/>
              <w:ind w:left="0" w:right="0" w:hanging="720"/>
              <w:jc w:val="center"/>
              <w:rPr/>
            </w:pPr>
            <w:r>
              <w:rPr/>
              <w:t>5</w:t>
            </w:r>
          </w:p>
        </w:tc>
      </w:tr>
      <w:tr>
        <w:trPr/>
        <w:tc>
          <w:tcPr>
            <w:tcW w:w="8150"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530" w:type="dxa"/>
            <w:tcBorders/>
            <w:shd w:fill="CCEEFF" w:val="clear"/>
            <w:vAlign w:val="center"/>
          </w:tcPr>
          <w:p>
            <w:pPr>
              <w:pStyle w:val="TableContents"/>
              <w:bidi w:val="0"/>
              <w:spacing w:before="0" w:after="283"/>
              <w:ind w:left="0" w:right="0" w:hanging="720"/>
              <w:jc w:val="center"/>
              <w:rPr/>
            </w:pPr>
            <w:r>
              <w:rPr/>
              <w:t>6</w:t>
            </w:r>
          </w:p>
        </w:tc>
      </w:tr>
      <w:tr>
        <w:trPr/>
        <w:tc>
          <w:tcPr>
            <w:tcW w:w="8150" w:type="dxa"/>
            <w:tcBorders/>
            <w:shd w:fill="FFFFFF" w:val="clear"/>
            <w:vAlign w:val="center"/>
          </w:tcPr>
          <w:p>
            <w:pPr>
              <w:pStyle w:val="TableContents"/>
              <w:bidi w:val="0"/>
              <w:spacing w:before="0" w:after="283"/>
              <w:jc w:val="left"/>
              <w:rPr/>
            </w:pPr>
            <w:hyperlink w:anchor="a_006">
              <w:r>
                <w:rPr>
                  <w:rStyle w:val="InternetLink"/>
                </w:rPr>
                <w:t>DESCRIPTION OF CAPITAL STOCK</w:t>
              </w:r>
            </w:hyperlink>
          </w:p>
        </w:tc>
        <w:tc>
          <w:tcPr>
            <w:tcW w:w="530" w:type="dxa"/>
            <w:tcBorders/>
            <w:shd w:fill="FFFFFF" w:val="clear"/>
            <w:vAlign w:val="center"/>
          </w:tcPr>
          <w:p>
            <w:pPr>
              <w:pStyle w:val="TableContents"/>
              <w:bidi w:val="0"/>
              <w:spacing w:before="0" w:after="283"/>
              <w:ind w:left="0" w:right="0" w:hanging="720"/>
              <w:jc w:val="center"/>
              <w:rPr/>
            </w:pPr>
            <w:r>
              <w:rPr/>
              <w:t>7</w:t>
            </w:r>
          </w:p>
        </w:tc>
      </w:tr>
      <w:tr>
        <w:trPr/>
        <w:tc>
          <w:tcPr>
            <w:tcW w:w="8150" w:type="dxa"/>
            <w:tcBorders/>
            <w:shd w:fill="CCEEFF" w:val="clear"/>
            <w:vAlign w:val="center"/>
          </w:tcPr>
          <w:p>
            <w:pPr>
              <w:pStyle w:val="TableContents"/>
              <w:bidi w:val="0"/>
              <w:spacing w:before="0" w:after="283"/>
              <w:jc w:val="left"/>
              <w:rPr/>
            </w:pPr>
            <w:hyperlink w:anchor="a_007">
              <w:r>
                <w:rPr>
                  <w:rStyle w:val="InternetLink"/>
                </w:rPr>
                <w:t>ADDITIONAL INFORMATION CONCERNING OUR CAPITAL STOCK</w:t>
              </w:r>
            </w:hyperlink>
          </w:p>
        </w:tc>
        <w:tc>
          <w:tcPr>
            <w:tcW w:w="530" w:type="dxa"/>
            <w:tcBorders/>
            <w:shd w:fill="CCEEFF" w:val="clear"/>
            <w:vAlign w:val="center"/>
          </w:tcPr>
          <w:p>
            <w:pPr>
              <w:pStyle w:val="TableContents"/>
              <w:bidi w:val="0"/>
              <w:spacing w:before="0" w:after="283"/>
              <w:ind w:left="0" w:right="0" w:hanging="720"/>
              <w:jc w:val="center"/>
              <w:rPr/>
            </w:pPr>
            <w:r>
              <w:rPr/>
              <w:t>8</w:t>
            </w:r>
          </w:p>
        </w:tc>
      </w:tr>
      <w:tr>
        <w:trPr/>
        <w:tc>
          <w:tcPr>
            <w:tcW w:w="8150"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530" w:type="dxa"/>
            <w:tcBorders/>
            <w:shd w:fill="FFFFFF" w:val="clear"/>
            <w:vAlign w:val="center"/>
          </w:tcPr>
          <w:p>
            <w:pPr>
              <w:pStyle w:val="TableContents"/>
              <w:bidi w:val="0"/>
              <w:spacing w:before="0" w:after="283"/>
              <w:ind w:left="0" w:right="0" w:hanging="720"/>
              <w:jc w:val="center"/>
              <w:rPr/>
            </w:pPr>
            <w:r>
              <w:rPr/>
              <w:t>12</w:t>
            </w:r>
          </w:p>
        </w:tc>
      </w:tr>
      <w:tr>
        <w:trPr/>
        <w:tc>
          <w:tcPr>
            <w:tcW w:w="815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530" w:type="dxa"/>
            <w:tcBorders/>
            <w:shd w:fill="CCEEFF" w:val="clear"/>
            <w:vAlign w:val="center"/>
          </w:tcPr>
          <w:p>
            <w:pPr>
              <w:pStyle w:val="TableContents"/>
              <w:bidi w:val="0"/>
              <w:spacing w:before="0" w:after="283"/>
              <w:ind w:left="0" w:right="0" w:hanging="720"/>
              <w:jc w:val="center"/>
              <w:rPr/>
            </w:pPr>
            <w:r>
              <w:rPr/>
              <w:t>21</w:t>
            </w:r>
          </w:p>
        </w:tc>
      </w:tr>
      <w:tr>
        <w:trPr/>
        <w:tc>
          <w:tcPr>
            <w:tcW w:w="8150" w:type="dxa"/>
            <w:tcBorders/>
            <w:shd w:fill="FFFFFF" w:val="clear"/>
            <w:vAlign w:val="center"/>
          </w:tcPr>
          <w:p>
            <w:pPr>
              <w:pStyle w:val="TableContents"/>
              <w:bidi w:val="0"/>
              <w:spacing w:before="0" w:after="283"/>
              <w:jc w:val="left"/>
              <w:rPr/>
            </w:pPr>
            <w:hyperlink w:anchor="B_001">
              <w:r>
                <w:rPr>
                  <w:rStyle w:val="InternetLink"/>
                </w:rPr>
                <w:t>DESCRIPTION OF RIGHTS</w:t>
              </w:r>
            </w:hyperlink>
          </w:p>
        </w:tc>
        <w:tc>
          <w:tcPr>
            <w:tcW w:w="530" w:type="dxa"/>
            <w:tcBorders/>
            <w:shd w:fill="FFFFFF" w:val="clear"/>
            <w:vAlign w:val="center"/>
          </w:tcPr>
          <w:p>
            <w:pPr>
              <w:pStyle w:val="TableContents"/>
              <w:bidi w:val="0"/>
              <w:spacing w:before="0" w:after="283"/>
              <w:ind w:left="0" w:right="0" w:hanging="720"/>
              <w:jc w:val="center"/>
              <w:rPr/>
            </w:pPr>
            <w:r>
              <w:rPr/>
              <w:t>23</w:t>
            </w:r>
          </w:p>
        </w:tc>
      </w:tr>
      <w:tr>
        <w:trPr/>
        <w:tc>
          <w:tcPr>
            <w:tcW w:w="8150" w:type="dxa"/>
            <w:tcBorders/>
            <w:shd w:fill="CCEEFF" w:val="clear"/>
            <w:vAlign w:val="center"/>
          </w:tcPr>
          <w:p>
            <w:pPr>
              <w:pStyle w:val="TableContents"/>
              <w:bidi w:val="0"/>
              <w:spacing w:before="0" w:after="283"/>
              <w:jc w:val="left"/>
              <w:rPr/>
            </w:pPr>
            <w:hyperlink w:anchor="a_010">
              <w:r>
                <w:rPr>
                  <w:rStyle w:val="InternetLink"/>
                </w:rPr>
                <w:t>DESCRIPTION OF UNITS</w:t>
              </w:r>
            </w:hyperlink>
          </w:p>
        </w:tc>
        <w:tc>
          <w:tcPr>
            <w:tcW w:w="530" w:type="dxa"/>
            <w:tcBorders/>
            <w:shd w:fill="CCEEFF" w:val="clear"/>
            <w:vAlign w:val="center"/>
          </w:tcPr>
          <w:p>
            <w:pPr>
              <w:pStyle w:val="TableContents"/>
              <w:bidi w:val="0"/>
              <w:spacing w:before="0" w:after="283"/>
              <w:ind w:left="0" w:right="0" w:hanging="720"/>
              <w:jc w:val="center"/>
              <w:rPr/>
            </w:pPr>
            <w:r>
              <w:rPr/>
              <w:t>24</w:t>
            </w:r>
          </w:p>
        </w:tc>
      </w:tr>
      <w:tr>
        <w:trPr/>
        <w:tc>
          <w:tcPr>
            <w:tcW w:w="8150" w:type="dxa"/>
            <w:tcBorders/>
            <w:shd w:fill="FFFFFF" w:val="clear"/>
            <w:vAlign w:val="center"/>
          </w:tcPr>
          <w:p>
            <w:pPr>
              <w:pStyle w:val="TableContents"/>
              <w:bidi w:val="0"/>
              <w:spacing w:before="0" w:after="283"/>
              <w:jc w:val="left"/>
              <w:rPr/>
            </w:pPr>
            <w:hyperlink w:anchor="a_011">
              <w:r>
                <w:rPr>
                  <w:rStyle w:val="InternetLink"/>
                </w:rPr>
                <w:t>PLAN OF DISTRIBUTION</w:t>
              </w:r>
            </w:hyperlink>
          </w:p>
        </w:tc>
        <w:tc>
          <w:tcPr>
            <w:tcW w:w="530" w:type="dxa"/>
            <w:tcBorders/>
            <w:shd w:fill="FFFFFF" w:val="clear"/>
            <w:vAlign w:val="center"/>
          </w:tcPr>
          <w:p>
            <w:pPr>
              <w:pStyle w:val="TableContents"/>
              <w:bidi w:val="0"/>
              <w:spacing w:before="0" w:after="283"/>
              <w:ind w:left="0" w:right="0" w:hanging="720"/>
              <w:jc w:val="center"/>
              <w:rPr/>
            </w:pPr>
            <w:r>
              <w:rPr/>
              <w:t>25</w:t>
            </w:r>
          </w:p>
        </w:tc>
      </w:tr>
      <w:tr>
        <w:trPr/>
        <w:tc>
          <w:tcPr>
            <w:tcW w:w="8150" w:type="dxa"/>
            <w:tcBorders/>
            <w:shd w:fill="CCEEFF" w:val="clear"/>
            <w:vAlign w:val="center"/>
          </w:tcPr>
          <w:p>
            <w:pPr>
              <w:pStyle w:val="TableContents"/>
              <w:bidi w:val="0"/>
              <w:spacing w:before="0" w:after="283"/>
              <w:jc w:val="left"/>
              <w:rPr/>
            </w:pPr>
            <w:hyperlink w:anchor="a_012">
              <w:r>
                <w:rPr>
                  <w:rStyle w:val="InternetLink"/>
                </w:rPr>
                <w:t>LEGAL MATTERS</w:t>
              </w:r>
            </w:hyperlink>
          </w:p>
        </w:tc>
        <w:tc>
          <w:tcPr>
            <w:tcW w:w="530" w:type="dxa"/>
            <w:tcBorders/>
            <w:shd w:fill="CCEEFF" w:val="clear"/>
            <w:vAlign w:val="center"/>
          </w:tcPr>
          <w:p>
            <w:pPr>
              <w:pStyle w:val="TableContents"/>
              <w:bidi w:val="0"/>
              <w:spacing w:before="0" w:after="283"/>
              <w:ind w:left="0" w:right="0" w:hanging="720"/>
              <w:jc w:val="center"/>
              <w:rPr/>
            </w:pPr>
            <w:r>
              <w:rPr/>
              <w:t>27</w:t>
            </w:r>
          </w:p>
        </w:tc>
      </w:tr>
      <w:tr>
        <w:trPr/>
        <w:tc>
          <w:tcPr>
            <w:tcW w:w="8150" w:type="dxa"/>
            <w:tcBorders/>
            <w:shd w:fill="FFFFFF" w:val="clear"/>
            <w:vAlign w:val="center"/>
          </w:tcPr>
          <w:p>
            <w:pPr>
              <w:pStyle w:val="TableContents"/>
              <w:bidi w:val="0"/>
              <w:spacing w:before="0" w:after="283"/>
              <w:jc w:val="left"/>
              <w:rPr/>
            </w:pPr>
            <w:hyperlink w:anchor="a_013">
              <w:r>
                <w:rPr>
                  <w:rStyle w:val="InternetLink"/>
                </w:rPr>
                <w:t>EXPERTS</w:t>
              </w:r>
            </w:hyperlink>
          </w:p>
        </w:tc>
        <w:tc>
          <w:tcPr>
            <w:tcW w:w="530" w:type="dxa"/>
            <w:tcBorders/>
            <w:shd w:fill="FFFFFF" w:val="clear"/>
            <w:vAlign w:val="center"/>
          </w:tcPr>
          <w:p>
            <w:pPr>
              <w:pStyle w:val="TableContents"/>
              <w:bidi w:val="0"/>
              <w:spacing w:before="0" w:after="283"/>
              <w:ind w:left="0" w:right="0" w:hanging="720"/>
              <w:jc w:val="center"/>
              <w:rPr/>
            </w:pPr>
            <w:r>
              <w:rPr/>
              <w:t>27</w:t>
            </w:r>
          </w:p>
        </w:tc>
      </w:tr>
      <w:tr>
        <w:trPr/>
        <w:tc>
          <w:tcPr>
            <w:tcW w:w="8150" w:type="dxa"/>
            <w:tcBorders/>
            <w:shd w:fill="CCEEFF" w:val="clear"/>
            <w:vAlign w:val="center"/>
          </w:tcPr>
          <w:p>
            <w:pPr>
              <w:pStyle w:val="TableContents"/>
              <w:bidi w:val="0"/>
              <w:spacing w:before="0" w:after="283"/>
              <w:jc w:val="left"/>
              <w:rPr/>
            </w:pPr>
            <w:hyperlink w:anchor="a_014">
              <w:r>
                <w:rPr>
                  <w:rStyle w:val="InternetLink"/>
                </w:rPr>
                <w:t>WHERE YOU CAN FIND MORE INFORMATION</w:t>
              </w:r>
            </w:hyperlink>
          </w:p>
        </w:tc>
        <w:tc>
          <w:tcPr>
            <w:tcW w:w="530" w:type="dxa"/>
            <w:tcBorders/>
            <w:shd w:fill="CCEEFF" w:val="clear"/>
            <w:vAlign w:val="center"/>
          </w:tcPr>
          <w:p>
            <w:pPr>
              <w:pStyle w:val="TableContents"/>
              <w:bidi w:val="0"/>
              <w:spacing w:before="0" w:after="283"/>
              <w:ind w:left="0" w:right="0" w:hanging="720"/>
              <w:jc w:val="center"/>
              <w:rPr/>
            </w:pPr>
            <w:r>
              <w:rPr/>
              <w:t>27</w:t>
            </w:r>
          </w:p>
        </w:tc>
      </w:tr>
      <w:tr>
        <w:trPr/>
        <w:tc>
          <w:tcPr>
            <w:tcW w:w="8150" w:type="dxa"/>
            <w:tcBorders/>
            <w:shd w:fill="FFFFFF" w:val="clear"/>
            <w:vAlign w:val="center"/>
          </w:tcPr>
          <w:p>
            <w:pPr>
              <w:pStyle w:val="TableContents"/>
              <w:bidi w:val="0"/>
              <w:spacing w:before="0" w:after="283"/>
              <w:jc w:val="left"/>
              <w:rPr/>
            </w:pPr>
            <w:hyperlink w:anchor="a_015">
              <w:r>
                <w:rPr>
                  <w:rStyle w:val="InternetLink"/>
                </w:rPr>
                <w:t>INCORPORATION OF CERTAIN DOCUMENTS BY REFERENCE</w:t>
              </w:r>
            </w:hyperlink>
          </w:p>
        </w:tc>
        <w:tc>
          <w:tcPr>
            <w:tcW w:w="530" w:type="dxa"/>
            <w:tcBorders/>
            <w:shd w:fill="FFFFFF" w:val="clear"/>
            <w:vAlign w:val="center"/>
          </w:tcPr>
          <w:p>
            <w:pPr>
              <w:pStyle w:val="TableContents"/>
              <w:bidi w:val="0"/>
              <w:spacing w:before="0" w:after="283"/>
              <w:jc w:val="center"/>
              <w:rPr/>
            </w:pPr>
            <w:r>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n_001"/>
      <w:bookmarkEnd w:id="2"/>
      <w:r>
        <w:rPr>
          <w:rFonts w:ascii="Times New Roman;Times;Serif" w:hAnsi="Times New Roman;Times;Serif"/>
          <w:b/>
          <w:i w:val="false"/>
          <w:caps/>
          <w:sz w:val="20"/>
        </w:rPr>
        <w:t>About This Prospectus Supplement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S-3 (File No. 333-282389) that we filed with the Securities and Exchange Commission (the “SEC”) on September 27, 2024 using a “shelf” registration process. Under this shelf registration process, we may sell shares of our Common Stock, preferred stock, debt securities, warrants, rights and units under the prospectus included in the registration statement from time to time at prices and on terms to be determined by market conditions at the time of the offering described in the accompanying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specific terms of this offering and also adds to and updates information contained in the accompanying prospectus and the documents incorporated by reference herein and therein. The second part, the accompanying prospectus, provides more general information, some of which may not apply to this offering. Generally, when we refer to this prospectus, we are referring to this prospectus supplement and the accompanying prospectus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Agents have authorized any other party to provide you with different information other than the information contained in, or incorporated by reference into,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Neither we nor the Agents are making an offer to sell our Common Stock in any jurisdiction where the offer or sale is not permitted.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purchasing any securities, you should carefully read both this prospectus supplement, the accompanying base prospectus and any free writing prospectus, together with the additional information described under the heading “Incorporation of Certain Information by Reference.” You should assume that the information contained in this prospectus supplement, the accompanying base prospectus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“Where You Can Find Additional Information.” This prospectus supplement, the accompanying base prospectus or any free writing prospectus do not constitute an offer to sell or the solicitation of an offer to buy any securities other than the registered securities to which they relate. We are not making offers to sell any securities described in this prospectus supplement in any jurisdiction in which an offer or solicitation is not authorized or in which the person making such offer or solicitation is not qualified to do so or to anyone to whom it is unlawful to make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unless the context otherwise requires:</w:t>
      </w:r>
    </w:p>
    <w:p>
      <w:pPr>
        <w:pStyle w:val="TextBody"/>
        <w:bidi w:val="0"/>
        <w:spacing w:before="0" w:after="0"/>
        <w:ind w:left="0" w:right="0" w:firstLine="720"/>
        <w:jc w:val="both"/>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pPr>
            <w:r>
              <w:rPr/>
              <w:t>“</w:t>
            </w:r>
            <w:r>
              <w:rPr>
                <w:i/>
              </w:rPr>
              <w:t>Board</w:t>
            </w:r>
            <w:r>
              <w:rPr/>
              <w:t>” or “</w:t>
            </w:r>
            <w:r>
              <w:rPr>
                <w:i/>
              </w:rPr>
              <w:t>Board of Directors</w:t>
            </w:r>
            <w:r>
              <w:rPr/>
              <w:t>” means our board of directors.</w:t>
            </w:r>
          </w:p>
        </w:tc>
      </w:tr>
    </w:tbl>
    <w:p>
      <w:pPr>
        <w:pStyle w:val="TextBody"/>
        <w:bidi w:val="0"/>
        <w:spacing w:before="0" w:after="283"/>
        <w:jc w:val="left"/>
        <w:rPr/>
      </w:pPr>
      <w:r>
        <w:rPr/>
        <w:t> </w:t>
      </w:r>
    </w:p>
    <w:tbl>
      <w:tblPr>
        <w:tblW w:w="8433" w:type="dxa"/>
        <w:jc w:val="left"/>
        <w:tblInd w:w="0" w:type="dxa"/>
        <w:tblLayout w:type="fixed"/>
        <w:tblCellMar>
          <w:top w:w="0" w:type="dxa"/>
          <w:left w:w="0" w:type="dxa"/>
          <w:bottom w:w="0" w:type="dxa"/>
          <w:right w:w="0" w:type="dxa"/>
        </w:tblCellMar>
      </w:tblPr>
      <w:tblGrid>
        <w:gridCol w:w="38"/>
        <w:gridCol w:w="17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w:t>
            </w:r>
            <w:r>
              <w:rPr>
                <w:i/>
              </w:rPr>
              <w:t>Common Stock</w:t>
            </w:r>
            <w:r>
              <w:rPr/>
              <w:t>” means the shares of our common stock, par value $0.0001 per share.</w:t>
            </w:r>
          </w:p>
        </w:tc>
      </w:tr>
    </w:tbl>
    <w:p>
      <w:pPr>
        <w:pStyle w:val="TextBody"/>
        <w:bidi w:val="0"/>
        <w:spacing w:before="0" w:after="283"/>
        <w:jc w:val="left"/>
        <w:rPr/>
      </w:pPr>
      <w:r>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pPr>
            <w:r>
              <w:rPr/>
              <w:t>“</w:t>
            </w:r>
            <w:r>
              <w:rPr>
                <w:i/>
              </w:rPr>
              <w:t>DGCL</w:t>
            </w:r>
            <w:r>
              <w:rPr/>
              <w:t>” means the General Corporation Law of the State of Delaware.</w:t>
            </w:r>
          </w:p>
        </w:tc>
      </w:tr>
    </w:tbl>
    <w:p>
      <w:pPr>
        <w:pStyle w:val="TextBody"/>
        <w:bidi w:val="0"/>
        <w:spacing w:before="0" w:after="283"/>
        <w:jc w:val="left"/>
        <w:rPr/>
      </w:pPr>
      <w:r>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pPr>
            <w:r>
              <w:rPr/>
              <w:t>“</w:t>
            </w:r>
            <w:r>
              <w:rPr>
                <w:i/>
              </w:rPr>
              <w:t>Exchange Act</w:t>
            </w:r>
            <w:r>
              <w:rPr/>
              <w:t>” means the Securities Exchange Act of 1934, as amended.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i/>
              </w:rPr>
              <w:t>Merger</w:t>
            </w:r>
            <w:r>
              <w:rPr/>
              <w:t>” means the transactions contemplated by the Agreement and Plan of Merger, pursuant to which Serve Acquisition Corp. (“</w:t>
            </w:r>
            <w:r>
              <w:rPr>
                <w:i/>
              </w:rPr>
              <w:t>Merger Sub</w:t>
            </w:r>
            <w:r>
              <w:rPr/>
              <w:t>”), our wholly-owned subsidiary, was merged with and into Serve Robotics Inc. prior to such merger (“</w:t>
            </w:r>
            <w:r>
              <w:rPr>
                <w:i/>
              </w:rPr>
              <w:t>Serve</w:t>
            </w:r>
            <w:r>
              <w:rPr/>
              <w:t>”), with Serve surviving the Merger as the Company’s wholly owned subsidiary, which transactions were consummated on July 31,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t>
            </w:r>
            <w:r>
              <w:rPr>
                <w:i/>
              </w:rPr>
              <w:t>Merger Agreement</w:t>
            </w:r>
            <w:r>
              <w:rPr/>
              <w:t>” means that certain Agreement and Plan of Merger, dated as of July 31, 2023, by and among the Company, Merger Sub and Serve.</w:t>
            </w:r>
          </w:p>
        </w:tc>
      </w:tr>
    </w:tbl>
    <w:p>
      <w:pPr>
        <w:pStyle w:val="TextBody"/>
        <w:bidi w:val="0"/>
        <w:spacing w:before="0" w:after="283"/>
        <w:jc w:val="left"/>
        <w:rPr/>
      </w:pPr>
      <w:r>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pPr>
            <w:r>
              <w:rPr/>
              <w:t>“</w:t>
            </w:r>
            <w:r>
              <w:rPr>
                <w:i/>
              </w:rPr>
              <w:t>Securities Act</w:t>
            </w:r>
            <w:r>
              <w:rPr/>
              <w:t>” means the Securities Act of 1933, as amended.</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n_012"/>
      <w:bookmarkEnd w:id="3"/>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supplement and the accompanying prospectus are part of the registration statement on Form S-3 we filed with the SEC under the Securities Act and do not contain all the information set forth or incorporated by reference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www.serverobotics.com.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or any of our social media channels is not a part of, and is not incorporated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n_011"/>
      <w:bookmarkEnd w:id="4"/>
      <w:r>
        <w:rPr>
          <w:rFonts w:ascii="Times New Roman;Times;Serif" w:hAnsi="Times New Roman;Times;Serif"/>
          <w:b/>
          <w:i w:val="false"/>
          <w:caps/>
          <w:sz w:val="20"/>
        </w:rPr>
        <w:t>Incorporation of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incorporates by reference important business and financial information about our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herein or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our Annual Report on </w:t>
            </w:r>
            <w:hyperlink r:id="rId3">
              <w:r>
                <w:rPr>
                  <w:rStyle w:val="InternetLink"/>
                </w:rPr>
                <w:t>Form 10-K</w:t>
              </w:r>
            </w:hyperlink>
            <w:r>
              <w:rPr/>
              <w:t xml:space="preserve"> for the year ended December 31, 2023 filed with the SEC on February 29,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our Quarterly Reports on Form 10-Q for the quarters ended March 31, 2024, June 30, 2024 and September 30, 2024, filed with the SEC on </w:t>
            </w:r>
            <w:hyperlink r:id="rId4">
              <w:r>
                <w:rPr>
                  <w:rStyle w:val="InternetLink"/>
                </w:rPr>
                <w:t>May 15, 2024</w:t>
              </w:r>
            </w:hyperlink>
            <w:r>
              <w:rPr/>
              <w:t xml:space="preserve">, </w:t>
            </w:r>
            <w:hyperlink r:id="rId5">
              <w:r>
                <w:rPr>
                  <w:rStyle w:val="InternetLink"/>
                </w:rPr>
                <w:t>August 13, 2024</w:t>
              </w:r>
            </w:hyperlink>
            <w:r>
              <w:rPr/>
              <w:t xml:space="preserve"> and </w:t>
            </w:r>
            <w:hyperlink r:id="rId6">
              <w:r>
                <w:rPr>
                  <w:rStyle w:val="InternetLink"/>
                </w:rPr>
                <w:t>November 7, 2024</w:t>
              </w:r>
            </w:hyperlink>
            <w:r>
              <w:rPr/>
              <w:t>,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our Current Reports on Form 8-K filed with the SEC on </w:t>
            </w:r>
            <w:hyperlink r:id="rId7">
              <w:r>
                <w:rPr>
                  <w:rStyle w:val="InternetLink"/>
                </w:rPr>
                <w:t>January 3, 2024</w:t>
              </w:r>
            </w:hyperlink>
            <w:r>
              <w:rPr/>
              <w:t xml:space="preserve">, </w:t>
            </w:r>
            <w:hyperlink r:id="rId8">
              <w:r>
                <w:rPr>
                  <w:rStyle w:val="InternetLink"/>
                </w:rPr>
                <w:t>February 7, 2024</w:t>
              </w:r>
            </w:hyperlink>
            <w:r>
              <w:rPr/>
              <w:t xml:space="preserve">, </w:t>
            </w:r>
            <w:hyperlink r:id="rId9">
              <w:r>
                <w:rPr>
                  <w:rStyle w:val="InternetLink"/>
                </w:rPr>
                <w:t>February 23, 2024</w:t>
              </w:r>
            </w:hyperlink>
            <w:r>
              <w:rPr/>
              <w:t xml:space="preserve">, </w:t>
            </w:r>
            <w:hyperlink r:id="rId10">
              <w:r>
                <w:rPr>
                  <w:rStyle w:val="InternetLink"/>
                </w:rPr>
                <w:t>March 7, 2024</w:t>
              </w:r>
            </w:hyperlink>
            <w:r>
              <w:rPr/>
              <w:t xml:space="preserve">, </w:t>
            </w:r>
            <w:hyperlink r:id="rId11">
              <w:r>
                <w:rPr>
                  <w:rStyle w:val="InternetLink"/>
                </w:rPr>
                <w:t>April 9, 2024</w:t>
              </w:r>
            </w:hyperlink>
            <w:r>
              <w:rPr/>
              <w:t xml:space="preserve">, </w:t>
            </w:r>
            <w:hyperlink r:id="rId12">
              <w:r>
                <w:rPr>
                  <w:rStyle w:val="InternetLink"/>
                </w:rPr>
                <w:t>April 18, 2024</w:t>
              </w:r>
            </w:hyperlink>
            <w:r>
              <w:rPr/>
              <w:t xml:space="preserve">, </w:t>
            </w:r>
            <w:hyperlink r:id="rId13">
              <w:r>
                <w:rPr>
                  <w:rStyle w:val="InternetLink"/>
                </w:rPr>
                <w:t>April 23, 2024</w:t>
              </w:r>
            </w:hyperlink>
            <w:r>
              <w:rPr/>
              <w:t xml:space="preserve">, </w:t>
            </w:r>
            <w:hyperlink r:id="rId14">
              <w:r>
                <w:rPr>
                  <w:rStyle w:val="InternetLink"/>
                </w:rPr>
                <w:t>April 24, 2024</w:t>
              </w:r>
            </w:hyperlink>
            <w:r>
              <w:rPr/>
              <w:t xml:space="preserve">, </w:t>
            </w:r>
            <w:hyperlink r:id="rId15">
              <w:r>
                <w:rPr>
                  <w:rStyle w:val="InternetLink"/>
                </w:rPr>
                <w:t>May 15, 2024</w:t>
              </w:r>
            </w:hyperlink>
            <w:r>
              <w:rPr/>
              <w:t xml:space="preserve">, </w:t>
            </w:r>
            <w:hyperlink r:id="rId16">
              <w:r>
                <w:rPr>
                  <w:rStyle w:val="InternetLink"/>
                </w:rPr>
                <w:t>June 3, 2024</w:t>
              </w:r>
            </w:hyperlink>
            <w:r>
              <w:rPr/>
              <w:t xml:space="preserve">, </w:t>
            </w:r>
            <w:hyperlink r:id="rId17">
              <w:r>
                <w:rPr>
                  <w:rStyle w:val="InternetLink"/>
                </w:rPr>
                <w:t>July 23, 2024</w:t>
              </w:r>
            </w:hyperlink>
            <w:r>
              <w:rPr/>
              <w:t xml:space="preserve">, </w:t>
            </w:r>
            <w:hyperlink r:id="rId18">
              <w:r>
                <w:rPr>
                  <w:rStyle w:val="InternetLink"/>
                </w:rPr>
                <w:t>July 24, 2024</w:t>
              </w:r>
            </w:hyperlink>
            <w:r>
              <w:rPr/>
              <w:t xml:space="preserve">, </w:t>
            </w:r>
            <w:hyperlink r:id="rId19">
              <w:r>
                <w:rPr>
                  <w:rStyle w:val="InternetLink"/>
                </w:rPr>
                <w:t>August 13, 2024</w:t>
              </w:r>
            </w:hyperlink>
            <w:r>
              <w:rPr/>
              <w:t xml:space="preserve">, </w:t>
            </w:r>
            <w:hyperlink r:id="rId20">
              <w:r>
                <w:rPr>
                  <w:rStyle w:val="InternetLink"/>
                </w:rPr>
                <w:t>August 28, 2024</w:t>
              </w:r>
            </w:hyperlink>
            <w:r>
              <w:rPr/>
              <w:t xml:space="preserve">, </w:t>
            </w:r>
            <w:hyperlink r:id="rId21">
              <w:r>
                <w:rPr>
                  <w:rStyle w:val="InternetLink"/>
                </w:rPr>
                <w:t>November 7, 2024</w:t>
              </w:r>
            </w:hyperlink>
            <w:r>
              <w:rPr/>
              <w:t xml:space="preserve"> and </w:t>
            </w:r>
            <w:hyperlink r:id="rId22">
              <w:r>
                <w:rPr>
                  <w:rStyle w:val="InternetLink"/>
                </w:rPr>
                <w:t>November 7, 2024</w:t>
              </w:r>
            </w:hyperlink>
            <w:r>
              <w:rPr/>
              <w:t xml:space="preserve"> (in each case, except for information contained therein which is furnished rather than filed);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 xml:space="preserve">the description of our Common Stock contained in our registration statement on </w:t>
            </w:r>
            <w:hyperlink r:id="rId23">
              <w:r>
                <w:rPr>
                  <w:rStyle w:val="InternetLink"/>
                </w:rPr>
                <w:t>Form 10-12G/A</w:t>
              </w:r>
            </w:hyperlink>
            <w:r>
              <w:rPr/>
              <w:t xml:space="preserve"> filed with the SEC on April 9, 2021, pursuant to Section 12(g) of the Exchange Act, as updated by the description of our Common Stock contained in </w:t>
            </w:r>
            <w:hyperlink r:id="rId24">
              <w:r>
                <w:rPr>
                  <w:rStyle w:val="InternetLink"/>
                </w:rPr>
                <w:t>Exhibit 4.8</w:t>
              </w:r>
            </w:hyperlink>
            <w:r>
              <w:rPr/>
              <w:t xml:space="preserve"> to the FY 2023 Form 10-K, and including any other amendments or reports filed for the purpose of updating such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any further filings we make with the SEC under Sections 13(a), 13(c), 14 or 15(d) of the Exchange Act (other than portions of those made pursuant to Item 2.02 or Item 7.01 of Form 8-K or other information “furnished” and not filed with the SEC), including all filings filed after the date hereof and prior to the completion of an offering of securities under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10-K, Quarterly Reports on Form 10-Q, Current Reports on Form 8-K and amendments to those reports, are available free of charge on our website at www.serverobotics.com as soon as reasonably practicable after they are filed with, or furnished to, the SEC. Our social media channels and our website and the information contained on that site, or connected to that site, are not incorporated into and are not a part of this prospectus.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br/>
        <w:t>730 Broadway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California 94063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Brian Read, Chief Financial Officer</w:t>
        <w:br/>
        <w:t>(818) 860-1352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5" w:name="n_002"/>
      <w:bookmarkEnd w:id="5"/>
      <w:r>
        <w:rPr>
          <w:rFonts w:ascii="Times New Roman;Times;Serif" w:hAnsi="Times New Roman;Times;Serif"/>
          <w:b/>
          <w:i w:val="false"/>
          <w:caps/>
          <w:sz w:val="20"/>
          <w:bdr w:val="single" w:sz="12" w:space="5" w:color="000000"/>
        </w:rPr>
        <w:t>Prospectus Supplement Summary</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or incorporated by reference, in this prospectus supplement. This summary does not contain all of the information that you should consider before deciding to invest in our Common Stock. For a more complete understanding of our company and this offering, you should read and consider carefully the more detailed information included or incorporated by reference in this prospectus supplement and the accompanying prospectus, including the factors described under the heading “Risk Factors” on page S-4</w:t>
      </w:r>
      <w:r>
        <w:rPr>
          <w:rFonts w:ascii="Times New Roman;Times;Serif" w:hAnsi="Times New Roman;Times;Serif"/>
          <w:b w:val="false"/>
          <w:i w:val="false"/>
          <w:caps w:val="false"/>
          <w:smallCaps w:val="false"/>
          <w:sz w:val="20"/>
          <w:bdr w:val="single" w:sz="12" w:space="5" w:color="000000"/>
        </w:rPr>
        <w:t xml:space="preserve"> </w:t>
      </w:r>
      <w:r>
        <w:rPr>
          <w:rFonts w:ascii="Times New Roman;Times;Serif" w:hAnsi="Times New Roman;Times;Serif"/>
          <w:b w:val="false"/>
          <w:i/>
          <w:caps w:val="false"/>
          <w:smallCaps w:val="false"/>
          <w:sz w:val="20"/>
          <w:bdr w:val="single" w:sz="12" w:space="5" w:color="000000"/>
        </w:rPr>
        <w:t>of this prospectus supplement and in our Annual Report on Form 10-K for the fiscal year ended December 31, 2023 (the “Annual Report”), filed with the SEC on February 29, 2024, and in our Quarterly Report on Form 10-Q for the quarter ended September 30, 2024, filed with the SEC on November 7, 2024 (the “Quarterly Report”), each of which is incorporated by reference into this prospectus supplement and the accompanying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All references to “Serve” refer to Serve Operating Co. (formerly known as Serve Robotics Inc.), a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on a mission to deliver a sustainable future by transforming how goods move among people.</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we aim to reshape cities into sustainable, safe and people-friendly environments, with thriving local economies.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our robots had successfully completed over 10,000 commercial deliveries for Postmates Inc. (collectively with its affiliated entities, “Postmates”) in California, augmenting Postmates’ fleet of human couriers.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Postmates was acquired by Uber Technologies, Inc.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us as full-time employees.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spinning off from Uber in 2021, we established a commercial partnership with Uber, with deliveries starting in January 2022 on a small scale. In May 2022, Uber announced a pilot program with us, and by June, it executed a commercial-scale agreement with us to deploy up to 2,000 of our robots across the United States.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current fleet consists of over 100 robots, and we plan to expand our fleet by building and deploying hundreds of new robots in the coming years after raising additional capital. We have platform-level integrations with the Uber Eats division of Uber and 7-Eleven, Inc. Our strategic investors include NVIDIA, Uber, 7-Ventures and Delivery Hero’s corporate venture units, alongside other world-class investors.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 details of our programs are contained in our Annual Report on Form 10-K for the fiscal year ended December 31, 2023.</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the State of Delaware as Patricia Acquisition Corp. on November 9, 2020. On July 31, 2023, a wholly owned merger sub merged with and into Serve (the “Merger”).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and we changed our name to “Serve Robotics Inc.”</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Merger, Patricia Acquisition Corp. was a “shell” company registered under the Exchange Act, with no specific business plan or purpose until it began operating the business of Serve following the closing of the Merger.</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730 Broadway, Redwood City, California 94063. Our telephone number is (818) 860-1352. Our website address is www.serverobotics.com. Information contained on, or that can be accessed through, our website is not a part of this prospectus.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6" w:name="n_003"/>
      <w:bookmarkEnd w:id="6"/>
      <w:r>
        <w:rPr>
          <w:rFonts w:ascii="Times New Roman;Times;Serif" w:hAnsi="Times New Roman;Times;Serif"/>
          <w:b/>
          <w:i w:val="false"/>
          <w:caps/>
          <w:sz w:val="20"/>
          <w:bdr w:val="single" w:sz="12" w:space="5" w:color="000000"/>
        </w:rPr>
        <w:t>The Offering</w:t>
      </w:r>
    </w:p>
    <w:p>
      <w:pPr>
        <w:pStyle w:val="TextBody"/>
        <w:bidi w:val="0"/>
        <w:spacing w:before="0" w:after="0"/>
        <w:ind w:left="0" w:right="0" w:hanging="0"/>
        <w:jc w:val="center"/>
        <w:rPr>
          <w:caps/>
          <w:bdr w:val="single" w:sz="12" w:space="5" w:color="000000"/>
        </w:rPr>
      </w:pPr>
      <w:r>
        <w:rPr>
          <w:caps/>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22"/>
        <w:gridCol w:w="60"/>
        <w:gridCol w:w="8323"/>
      </w:tblGrid>
      <w:tr>
        <w:trPr/>
        <w:tc>
          <w:tcPr>
            <w:tcW w:w="1822" w:type="dxa"/>
            <w:tcBorders/>
            <w:vAlign w:val="center"/>
          </w:tcPr>
          <w:p>
            <w:pPr>
              <w:pStyle w:val="TableContents"/>
              <w:bidi w:val="0"/>
              <w:spacing w:before="0" w:after="283"/>
              <w:jc w:val="left"/>
              <w:rPr/>
            </w:pPr>
            <w:r>
              <w:rPr/>
              <w:t>Common Stock Offered by Us</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both"/>
              <w:rPr/>
            </w:pPr>
            <w:r>
              <w:rPr/>
              <w:t>Common Stock having an aggregate gross sales price of $100,000,000.</w:t>
            </w:r>
          </w:p>
        </w:tc>
      </w:tr>
      <w:tr>
        <w:trPr/>
        <w:tc>
          <w:tcPr>
            <w:tcW w:w="1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both"/>
              <w:rPr/>
            </w:pPr>
            <w:r>
              <w:rPr/>
              <w:t> </w:t>
            </w:r>
          </w:p>
        </w:tc>
      </w:tr>
      <w:tr>
        <w:trPr/>
        <w:tc>
          <w:tcPr>
            <w:tcW w:w="1822" w:type="dxa"/>
            <w:tcBorders/>
            <w:vAlign w:val="center"/>
          </w:tcPr>
          <w:p>
            <w:pPr>
              <w:pStyle w:val="TableContents"/>
              <w:bidi w:val="0"/>
              <w:spacing w:before="0" w:after="283"/>
              <w:jc w:val="both"/>
              <w:rPr/>
            </w:pPr>
            <w:r>
              <w:rPr/>
              <w:t>Manner of offering</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Sales of shares of our Common Stock under this prospectus supplement may be made by any method deemed to be an “at the market offering” as defined in Rule 415(a)(4) under the Securities Act. Subject to the terms of the Distribution Agreement, the Agent will make all sales using commercially reasonable efforts consistent with its normal trading and sales practices and applicable state and federal laws, rules, and regulations and the rules of Nasdaq, on mutually agreeable terms between the Agent and us. See “Plan of Distribution.”</w:t>
            </w:r>
          </w:p>
        </w:tc>
      </w:tr>
      <w:tr>
        <w:trPr/>
        <w:tc>
          <w:tcPr>
            <w:tcW w:w="1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 </w:t>
            </w:r>
          </w:p>
        </w:tc>
      </w:tr>
      <w:tr>
        <w:trPr/>
        <w:tc>
          <w:tcPr>
            <w:tcW w:w="1822" w:type="dxa"/>
            <w:tcBorders/>
            <w:vAlign w:val="center"/>
          </w:tcPr>
          <w:p>
            <w:pPr>
              <w:pStyle w:val="TableContents"/>
              <w:bidi w:val="0"/>
              <w:spacing w:before="0" w:after="283"/>
              <w:jc w:val="left"/>
              <w:rPr/>
            </w:pPr>
            <w:r>
              <w:rPr/>
              <w:t>Shares of Common Stock Outstanding Prior to this Offering</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44,298,197 shares of Common Stock (as of November 5, 2024).</w:t>
            </w:r>
          </w:p>
        </w:tc>
      </w:tr>
      <w:tr>
        <w:trPr/>
        <w:tc>
          <w:tcPr>
            <w:tcW w:w="1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 </w:t>
            </w:r>
          </w:p>
        </w:tc>
      </w:tr>
      <w:tr>
        <w:trPr/>
        <w:tc>
          <w:tcPr>
            <w:tcW w:w="1822" w:type="dxa"/>
            <w:tcBorders/>
            <w:vAlign w:val="center"/>
          </w:tcPr>
          <w:p>
            <w:pPr>
              <w:pStyle w:val="TableContents"/>
              <w:bidi w:val="0"/>
              <w:spacing w:before="0" w:after="283"/>
              <w:jc w:val="left"/>
              <w:rPr/>
            </w:pPr>
            <w:r>
              <w:rPr/>
              <w:t>Shares of Common Stock Outstanding After this Offering</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54,491,877 shares of our Common Stock, assuming the sale of 10,193,680 shares of our Common Stock in this offering at an offering price of $9.81 per share, which was the last reported sale price of our Common Stock on Nasdaq on November 5, 2024. The actual number of shares of our Common Stock issued will vary depending on the sale price under this offering.</w:t>
            </w:r>
          </w:p>
        </w:tc>
      </w:tr>
      <w:tr>
        <w:trPr/>
        <w:tc>
          <w:tcPr>
            <w:tcW w:w="1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 </w:t>
            </w:r>
          </w:p>
        </w:tc>
      </w:tr>
      <w:tr>
        <w:trPr/>
        <w:tc>
          <w:tcPr>
            <w:tcW w:w="1822" w:type="dxa"/>
            <w:tcBorders/>
            <w:vAlign w:val="center"/>
          </w:tcPr>
          <w:p>
            <w:pPr>
              <w:pStyle w:val="TableContents"/>
              <w:bidi w:val="0"/>
              <w:spacing w:before="0" w:after="283"/>
              <w:jc w:val="left"/>
              <w:rPr/>
            </w:pPr>
            <w:r>
              <w:rPr/>
              <w:t>Use of Proceeds</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We intend to use the net proceeds from the sale of shares of our Common Stock for working capital and other general corporate purposes. Our management will retain broad discretion over the allocation of the net proceeds from the sale of the shares of our Common Stock offered by this prospectus supplement. See “Use of Proceeds.”</w:t>
            </w:r>
          </w:p>
        </w:tc>
      </w:tr>
      <w:tr>
        <w:trPr/>
        <w:tc>
          <w:tcPr>
            <w:tcW w:w="1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 </w:t>
            </w:r>
          </w:p>
        </w:tc>
      </w:tr>
      <w:tr>
        <w:trPr/>
        <w:tc>
          <w:tcPr>
            <w:tcW w:w="1822" w:type="dxa"/>
            <w:tcBorders/>
            <w:vAlign w:val="center"/>
          </w:tcPr>
          <w:p>
            <w:pPr>
              <w:pStyle w:val="TableContents"/>
              <w:bidi w:val="0"/>
              <w:spacing w:before="0" w:after="283"/>
              <w:jc w:val="left"/>
              <w:rPr/>
            </w:pPr>
            <w:r>
              <w:rPr/>
              <w:t>Risk Factors</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See the section titled “Risk Factors” in this prospectus supplement and the accompanying prospectus and in the documents incorporated herein by reference for a discussion of certain factors you should carefully consider before deciding to invest in shares of our Common Stock.</w:t>
            </w:r>
          </w:p>
        </w:tc>
      </w:tr>
      <w:tr>
        <w:trPr/>
        <w:tc>
          <w:tcPr>
            <w:tcW w:w="18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 </w:t>
            </w:r>
          </w:p>
        </w:tc>
      </w:tr>
      <w:tr>
        <w:trPr/>
        <w:tc>
          <w:tcPr>
            <w:tcW w:w="1822" w:type="dxa"/>
            <w:tcBorders/>
            <w:vAlign w:val="center"/>
          </w:tcPr>
          <w:p>
            <w:pPr>
              <w:pStyle w:val="TableContents"/>
              <w:bidi w:val="0"/>
              <w:spacing w:before="0" w:after="283"/>
              <w:jc w:val="left"/>
              <w:rPr/>
            </w:pPr>
            <w:r>
              <w:rPr/>
              <w:t>Nasdaq symbol</w:t>
            </w:r>
          </w:p>
        </w:tc>
        <w:tc>
          <w:tcPr>
            <w:tcW w:w="60" w:type="dxa"/>
            <w:tcBorders/>
            <w:vAlign w:val="center"/>
          </w:tcPr>
          <w:p>
            <w:pPr>
              <w:pStyle w:val="TableContents"/>
              <w:bidi w:val="0"/>
              <w:spacing w:before="0" w:after="283"/>
              <w:jc w:val="left"/>
              <w:rPr/>
            </w:pPr>
            <w:r>
              <w:rPr/>
              <w:t> </w:t>
            </w:r>
          </w:p>
        </w:tc>
        <w:tc>
          <w:tcPr>
            <w:tcW w:w="8323" w:type="dxa"/>
            <w:tcBorders/>
            <w:vAlign w:val="center"/>
          </w:tcPr>
          <w:p>
            <w:pPr>
              <w:pStyle w:val="TableContents"/>
              <w:bidi w:val="0"/>
              <w:spacing w:before="0" w:after="283"/>
              <w:jc w:val="left"/>
              <w:rPr/>
            </w:pPr>
            <w:r>
              <w:rPr/>
              <w:t>Our Common Stock is currently traded on The Nasdaq Capital Market under the symbol “SERV.”</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our Common Stock to be outstanding immediately after this offering is based on 44,298,197 shares of our Common Stock outstanding as of November 5, 2024, and excludes: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1,521,585 shares of Common Stock issuable upon the exercise of options outstanding as of September 30, 2024, at a weighted average exercise price of $0.84 per share under our 2021 Stock Plan and 2023 Equity Incentive Plan;</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4,814,060 shares of Common Stock issuable upon the vesting of restricted stock units outstanding as of September 30, 2024 under our 2021 Stock Plan and 2023 Equity Incentive Plan;</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5,547,024 shares of Common Stock issuable upon the exercise of warrants outstanding as of September 30, 2024 at a weighted average exercise price of $5.41 per share.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Except as otherwise indicated, all information in this prospectus supplement assumes no exercise of the outstanding securities described above.</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n_004"/>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“Forward-Looking Statements,” you should carefully consider the specific risks incorporated by reference in this prospectus to our Annual Report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share price may be volatile, and you may be unable to sell your shares at or above the offering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be volatile and could be subject to wide fluctuations in response to many risk factors listed in this section, and others beyond our control,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actual or anticipated fluctuations in our financial condition and operating results, including fluctuations in our quarterly and annual results;</w:t>
            </w:r>
          </w:p>
        </w:tc>
      </w:tr>
    </w:tbl>
    <w:p>
      <w:pPr>
        <w:pStyle w:val="TextBody"/>
        <w:bidi w:val="0"/>
        <w:jc w:val="left"/>
        <w:rPr/>
      </w:pPr>
      <w:r>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pPr>
            <w:r>
              <w:rPr/>
              <w:t>our ability to maintain the listing of our Common Stock on Nasdaq;</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recognize the anticipated benefits of the Merger, which may be affected by, among other things, competition and our ability to grow and manage growth profitably;</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enter into binding contracts with original equipment manufacturers or tier-one suppliers in order to execute on our business plan;</w:t>
            </w:r>
          </w:p>
        </w:tc>
      </w:tr>
    </w:tbl>
    <w:p>
      <w:pPr>
        <w:pStyle w:val="TextBody"/>
        <w:bidi w:val="0"/>
        <w:jc w:val="left"/>
        <w:rPr/>
      </w:pPr>
      <w:r>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pPr>
            <w:r>
              <w:rPr/>
              <w:t>our expansion plans and opportunities;</w:t>
            </w:r>
          </w:p>
        </w:tc>
      </w:tr>
    </w:tbl>
    <w:p>
      <w:pPr>
        <w:pStyle w:val="TextBody"/>
        <w:bidi w:val="0"/>
        <w:jc w:val="left"/>
        <w:rPr/>
      </w:pPr>
      <w:r>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pPr>
            <w:r>
              <w:rPr/>
              <w:t>our expectations regarding future expenditures;</w:t>
            </w:r>
          </w:p>
        </w:tc>
      </w:tr>
    </w:tbl>
    <w:p>
      <w:pPr>
        <w:pStyle w:val="TextBody"/>
        <w:bidi w:val="0"/>
        <w:jc w:val="left"/>
        <w:rPr/>
      </w:pPr>
      <w:r>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announcements of technological innovations by us or our competitors;</w:t>
            </w:r>
          </w:p>
        </w:tc>
      </w:tr>
    </w:tbl>
    <w:p>
      <w:pPr>
        <w:pStyle w:val="TextBody"/>
        <w:bidi w:val="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jc w:val="left"/>
        <w:rPr/>
      </w:pPr>
      <w:r>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overall conditions in our industry and the markets in which we operate;</w:t>
            </w:r>
          </w:p>
        </w:tc>
      </w:tr>
    </w:tbl>
    <w:p>
      <w:pPr>
        <w:pStyle w:val="TextBody"/>
        <w:bidi w:val="0"/>
        <w:jc w:val="left"/>
        <w:rPr/>
      </w:pPr>
      <w:r>
        <w:rPr/>
        <w:t> </w:t>
      </w:r>
    </w:p>
    <w:tbl>
      <w:tblPr>
        <w:tblW w:w="9738" w:type="dxa"/>
        <w:jc w:val="left"/>
        <w:tblInd w:w="0" w:type="dxa"/>
        <w:tblLayout w:type="fixed"/>
        <w:tblCellMar>
          <w:top w:w="0" w:type="dxa"/>
          <w:left w:w="0" w:type="dxa"/>
          <w:bottom w:w="0" w:type="dxa"/>
          <w:right w:w="0" w:type="dxa"/>
        </w:tblCellMar>
      </w:tblPr>
      <w:tblGrid>
        <w:gridCol w:w="38"/>
        <w:gridCol w:w="17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addition or loss of significant customers, or other developments with respect to significant customers;</w:t>
            </w:r>
          </w:p>
        </w:tc>
      </w:tr>
    </w:tbl>
    <w:p>
      <w:pPr>
        <w:pStyle w:val="TextBody"/>
        <w:bidi w:val="0"/>
        <w:jc w:val="left"/>
        <w:rPr/>
      </w:pPr>
      <w:r>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pPr>
            <w:r>
              <w:rPr/>
              <w:t>changes in laws or regulations applicable to our services;</w:t>
            </w:r>
          </w:p>
        </w:tc>
      </w:tr>
    </w:tbl>
    <w:p>
      <w:pPr>
        <w:pStyle w:val="TextBody"/>
        <w:bidi w:val="0"/>
        <w:jc w:val="left"/>
        <w:rPr/>
      </w:pPr>
      <w:r>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actual or anticipated changes in our growth rate relative to our competitors;</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announcements by us or our competitors of significant acquisitions, strategic partnerships, joint ventures or capital commitments;</w:t>
            </w:r>
          </w:p>
        </w:tc>
      </w:tr>
    </w:tbl>
    <w:p>
      <w:pPr>
        <w:pStyle w:val="TextBody"/>
        <w:bidi w:val="0"/>
        <w:jc w:val="left"/>
        <w:rPr/>
      </w:pPr>
      <w:r>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pPr>
            <w:r>
              <w:rPr/>
              <w:t>additions or departures of key personnel;</w:t>
            </w:r>
          </w:p>
        </w:tc>
      </w:tr>
    </w:tbl>
    <w:p>
      <w:pPr>
        <w:pStyle w:val="TextBody"/>
        <w:bidi w:val="0"/>
        <w:jc w:val="left"/>
        <w:rPr/>
      </w:pPr>
      <w:r>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pPr>
            <w:r>
              <w:rPr/>
              <w:t>competition from existing products or new products that may emerge;</w:t>
            </w:r>
          </w:p>
        </w:tc>
      </w:tr>
    </w:tbl>
    <w:p>
      <w:pPr>
        <w:pStyle w:val="TextBody"/>
        <w:bidi w:val="0"/>
        <w:jc w:val="left"/>
        <w:rPr/>
      </w:pPr>
      <w:r>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issuance of new or updated research or reports by securities analysts;</w:t>
            </w:r>
          </w:p>
        </w:tc>
      </w:tr>
    </w:tbl>
    <w:p>
      <w:pPr>
        <w:pStyle w:val="TextBody"/>
        <w:bidi w:val="0"/>
        <w:jc w:val="left"/>
        <w:rPr/>
      </w:pPr>
      <w:r>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pPr>
            <w:r>
              <w:rPr/>
              <w:t>fluctuations in the valuation of companies perceived by investors to be comparable to us;</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disputes or other developments related to proprietary rights, including patents, litigation matters, and our ability to obtain intellectual property protection for our technologies;</w:t>
            </w:r>
          </w:p>
        </w:tc>
      </w:tr>
    </w:tbl>
    <w:p>
      <w:pPr>
        <w:pStyle w:val="TextBody"/>
        <w:bidi w:val="0"/>
        <w:jc w:val="left"/>
        <w:rPr/>
      </w:pPr>
      <w:r>
        <w:rPr/>
        <w:t> </w:t>
      </w:r>
    </w:p>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pPr>
            <w:r>
              <w:rPr/>
              <w:t>announcement or expectation of additional financing efforts;</w:t>
            </w:r>
          </w:p>
        </w:tc>
      </w:tr>
    </w:tbl>
    <w:p>
      <w:pPr>
        <w:pStyle w:val="TextBody"/>
        <w:bidi w:val="0"/>
        <w:jc w:val="left"/>
        <w:rPr/>
      </w:pPr>
      <w:r>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sales of our Common Stock by us or our stockholders;</w:t>
            </w:r>
          </w:p>
        </w:tc>
      </w:tr>
    </w:tbl>
    <w:p>
      <w:pPr>
        <w:pStyle w:val="TextBody"/>
        <w:bidi w:val="0"/>
        <w:jc w:val="left"/>
        <w:rPr/>
      </w:pPr>
      <w:r>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share price and volume fluctuations attributable to inconsistent trading volume levels of our shares;</w:t>
            </w:r>
          </w:p>
        </w:tc>
      </w:tr>
    </w:tbl>
    <w:p>
      <w:pPr>
        <w:pStyle w:val="TextBody"/>
        <w:bidi w:val="0"/>
        <w:jc w:val="left"/>
        <w:rPr/>
      </w:pPr>
      <w:r>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dilution resulting from this offering and future sales of equity;</w:t>
            </w:r>
          </w:p>
        </w:tc>
      </w:tr>
    </w:tbl>
    <w:p>
      <w:pPr>
        <w:pStyle w:val="TextBody"/>
        <w:bidi w:val="0"/>
        <w:jc w:val="left"/>
        <w:rPr/>
      </w:pPr>
      <w:r>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our ability to obtain sufficient funding or access capital; and</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pPr>
            <w:r>
              <w:rPr/>
              <w:t>general domestic and international economic and market conditions.</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may not use them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including for any of the purposes described in the section titled “Use of Proceeds,” as well as our existing cash and cash equivalents, and you will be relying on the judgment of our management regarding such application. Accordingly, you will have to rely upon the judgment of our management with respect to the use of the proceeds, with only limited information concerning management’s specific intentions.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our Common Stock by existing stockholders, or the perception that these sales may occur, especially by our directors, executive officers or significant stockholders, may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existing stockholders, in particular our directors, executive officers or other affiliates, sell substantial amounts of our Common Stock in the public market, or are perceived by the public market as intending to sell, the trading price of our Common Stock could decline. In addition, sales of these shares of Common Stock could impair our ability to raise capital, should we wish to do so. We cannot predict the timing or amount of future sales of our Common Stock by existing stockholders, but such sales, or the perception that such sales could occur, may adversely affect prevailing market prices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in this offering will experience immediate and substantial dilution in the book value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share of our Common Stock being offered may be higher than the net tangible book value per share of our outstanding Common Stock prior to this offering. Assuming that an aggregate of 10,193,680 shares of our Common Stock are sold at a price of $9.81 per share, the last reported sale price of our Common Stock on Nasdaq on November 5, 2024, for aggregate gross proceeds of approximately $100,000,000, new investors in this offering would incur immediate dilution of $6.92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shares of Common Stock or securities convertible or exchangeable for our Common Stock, our then existing stockholders may experience dilution and the new securities may have rights senior to those of our Common Stock offered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equity could result in dilution to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number of shares that will be issued or the aggregate proceeds resulting from sales made under the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Distribution Agreement and compliance with applicable law, we have the discretion to deliver a placement notice to the Agent at any time throughout the term of the Distribution Agreement. The number of shares that are sold through the Agent after delivering a placement notice will fluctuate based on a number of factors, including the market price of our Common Stock during the sales period, any limits we may set with the Agent in any applicable placement notice, and the demand for our Common Stock. Because the price per share of each share sold pursuant to the Distribution Agreement will fluctuate over time, it is not currently possible to predict the number of shares that will be sold or the aggregate proceeds to be raised in connection with sales under the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the Agent,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business plans require a significant amount of capital. If we are unable to obtain sufficient funding or do not have access to capital, we may not be able to execute our business plans and our prospects,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net proceeds received under the Distribution Agreement, we expect to continue to seek other sources of funding, including by offering additional equity and/or equity-linked securities through one or more credit facilities and potentially by offering debt securities to finance a portion of our future expenditures. We have experienced operating losses, and we expect to continue to incur operating losses as we implement our business plans. We expect our capital expenditures to continue to be significant in the foreseeable future as we expand our business. We expect to expend capital with significant outlays directed both toward bringing our current vehicle programs to market as well as developing additional vehicles, along with related products and service offerings. The fact that we have a limited operating history means we have limited historical data on the demand for our services. As a result, our capital requirements are uncertain and actual capital requirements may be different from those we currently anticipate. In addition, new opportunities for growth in future services and markets may arise and may require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additional equity or equity-linked securities could dilute our stockholders. The incurrence of indebtedness would result in increased debt service obligations and could result in operating and financing covenants that would restrict our operations or our ability to pay dividends to our stockholders. Our ability to obtain the necessary additional financing to carry out our business plans is subject to a number of factors, including general market conditions and investor acceptance of our business model. These factors may make the timing, amount, terms and conditions of such financing unattractive or unavailable to us. If we are unable to raise sufficient funds on favorable terms, we may have to significantly reduce our spending, delay or cancel our planned activities or substantially change our corporate structure. We might not be able to obtain any such funding or we might not have sufficient resources to conduct our business as projected, both of which could mean that we would be forced to curtail or discontinue our operations and our prospects, financial consolidated results of operations could be materially adversely affected, in which case our investors could lose some or all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n_005"/>
      <w:bookmarkEnd w:id="8"/>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any accompanying prospectus supplement, or some of the information incorporated herein by reference, contain certain statements that constitute “forward-looking statements” within the meaning of Section 27A of the Securities Act and Section 21E of the Exchange Act. These forward-looking statements include, without limitation, statements regarding future financial performance, business strategies, expansion plans, future results of operations,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“may,” “should,” “could,” “would,” “expect,” “plan,” “anticipate,” “intend,” “believe,” “estimate,” “continue,” “project” or the negative of such terms or other similar expressions may identify forward-looking statements, but the absence of these words does not mean that a statement is not forward-looking. Forward-looking statements in this prospectus and any accompanying prospectus supplement and in any document incorporated by reference in this prospectus may include, for example, statements about:</w:t>
      </w:r>
    </w:p>
    <w:p>
      <w:pPr>
        <w:pStyle w:val="TextBody"/>
        <w:bidi w:val="0"/>
        <w:spacing w:before="0" w:after="0"/>
        <w:ind w:left="0" w:right="0" w:firstLine="72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our ability to protect and enforce our intellectual property and the scope and duration of such protection;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reliance on third parties, including suppliers, delivery platforms, brand sponsors, software providers and service providers;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operate in public spaces and any errors caused by human supervisors, network connectivity or automation;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robots’ reliance on sophisticated software technology that incorporates third-party components and networks to operate and our ability to maintain licenses for this software technology;</w:t>
            </w:r>
          </w:p>
        </w:tc>
      </w:tr>
    </w:tbl>
    <w:p>
      <w:pPr>
        <w:pStyle w:val="TextBody"/>
        <w:bidi w:val="0"/>
        <w:spacing w:before="0" w:after="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pPr>
            <w:r>
              <w:rPr/>
              <w:t>our ability to commercialize our products at a large scale;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left"/>
              <w:rPr/>
            </w:pPr>
            <w:r>
              <w:rPr/>
              <w:t>the competitive industry in which we operate which is subject to rapid technological 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left"/>
              <w:rPr/>
            </w:pPr>
            <w:r>
              <w:rPr/>
              <w:t>our ability to raise additional capital to develop our technology and scale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w:t>
            </w:r>
          </w:p>
        </w:tc>
        <w:tc>
          <w:tcPr>
            <w:tcW w:w="9913" w:type="dxa"/>
            <w:tcBorders/>
            <w:vAlign w:val="center"/>
          </w:tcPr>
          <w:p>
            <w:pPr>
              <w:pStyle w:val="TableContents"/>
              <w:bidi w:val="0"/>
              <w:spacing w:before="0" w:after="283"/>
              <w:jc w:val="left"/>
              <w:rPr/>
            </w:pPr>
            <w:r>
              <w:rPr/>
              <w:t>developments and projections relating to our competitors and our industry;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left"/>
              <w:rPr/>
            </w:pPr>
            <w:r>
              <w:rPr/>
              <w:t>our ability to adequately control the costs associated with our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impact of current and future laws and regulations, especially those related to personal delivery devices;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potential cybersecurity risks to our operational systems, infrastructure and integrated software by us or third-party vendors;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left"/>
              <w:rPr/>
            </w:pPr>
            <w:r>
              <w:rPr/>
              <w:t>our ability to continue as a going concern;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other factors incorporated by reference herein, including those risk factors described in the section entitled “Risk Factors” under Part I, Item 1A of our Annual Report filed with the SEC on February 29, 2023, as supplemented by Quarterly Reports on Form 10-Q and Current Reports on Form 8-K filed with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and in any document incorporated by reference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in our periodic filings with the SEC. Our SEC filings are available publicly on the SEC website at www.sec.gov.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our assumptions prove incorrect, actual results may vary in material respects from those projected in these forward-looking statements. Accordingly, forward-looking statements in this prospectus and in any document incorporated herein by reference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9" w:name="n_006"/>
      <w:bookmarkEnd w:id="9"/>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$100,000,000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Distribution Agreement with the Agents as a source of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uses of the net proceeds in this offering. We intend to use the net proceeds that we receive from this offering for working capital and other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by us. The net proceeds may be invested temporarily until they are used for their stated purpose or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0" w:name="d_001"/>
      <w:bookmarkEnd w:id="10"/>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purchase shares of our Common Stock in this offering, your interest will be diluted to the extent of the difference between the public offering price per share of our Common Stock and the unaudited net tangible book value per share of our Common Stock after this offering. As of September 30, 2024, our unaudited net tangible book value was $56.2 million, or $1.31 per share of Common Stock. We calculate net tangible book value per share by dividing our net tangible assets (total tangible assets less total liabilities) by the number of shares of our Common Stock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by us of our Common Stock in the aggregate amount of $100,000,000 in this offering at an assumed offering price of $9.81 per share, which was the last reported sale price of our Common Stock on Nasdaq on November 5, 2024, and after deducting estimated offering expenses payable by us, our unaudited pro forma adjusted net tangible book value as of September 30, 2024 would have been approximately $153.1 million, or $2.89 per share of Common Stock. This represents an immediate increase in as adjusted unaudited pro forma net tangible book value of $1.58 per share to existing stockholders and an immediate dilution of $6.92 per share to new investors purchasing securities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dilution: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90"/>
        <w:gridCol w:w="60"/>
        <w:gridCol w:w="140"/>
        <w:gridCol w:w="440"/>
        <w:gridCol w:w="60"/>
        <w:gridCol w:w="60"/>
        <w:gridCol w:w="140"/>
        <w:gridCol w:w="440"/>
        <w:gridCol w:w="75"/>
      </w:tblGrid>
      <w:tr>
        <w:trPr/>
        <w:tc>
          <w:tcPr>
            <w:tcW w:w="8790" w:type="dxa"/>
            <w:tcBorders/>
            <w:shd w:fill="CCEEFF" w:val="clear"/>
            <w:vAlign w:val="center"/>
          </w:tcPr>
          <w:p>
            <w:pPr>
              <w:pStyle w:val="TableContents"/>
              <w:bidi w:val="0"/>
              <w:spacing w:before="0" w:after="283"/>
              <w:ind w:left="0" w:right="0" w:hanging="180"/>
              <w:jc w:val="left"/>
              <w:rPr/>
            </w:pPr>
            <w:r>
              <w:rPr/>
              <w:t>Assumed public offering price per share of our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9.81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Unaudited net tangible book value per share of our Common Stock as of September 30,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790" w:type="dxa"/>
            <w:tcBorders/>
            <w:shd w:fill="CCEEFF" w:val="clear"/>
            <w:vAlign w:val="center"/>
          </w:tcPr>
          <w:p>
            <w:pPr>
              <w:pStyle w:val="TableContents"/>
              <w:bidi w:val="0"/>
              <w:spacing w:before="0" w:after="283"/>
              <w:jc w:val="left"/>
              <w:rPr/>
            </w:pPr>
            <w:r>
              <w:rPr/>
              <w:t>Increase per share of our Common Stock attributable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790" w:type="dxa"/>
            <w:tcBorders/>
            <w:shd w:fill="FFFFFF" w:val="clear"/>
            <w:vAlign w:val="center"/>
          </w:tcPr>
          <w:p>
            <w:pPr>
              <w:pStyle w:val="TableContents"/>
              <w:bidi w:val="0"/>
              <w:spacing w:before="0" w:after="283"/>
              <w:jc w:val="left"/>
              <w:rPr/>
            </w:pPr>
            <w:r>
              <w:rPr/>
              <w:t>As adjusted unaudited pro forma net tangible book value per share of our Common Stock as of September 30, 2024,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2.89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790" w:type="dxa"/>
            <w:tcBorders/>
            <w:shd w:fill="CCEEFF" w:val="clear"/>
            <w:vAlign w:val="center"/>
          </w:tcPr>
          <w:p>
            <w:pPr>
              <w:pStyle w:val="TableContents"/>
              <w:bidi w:val="0"/>
              <w:spacing w:before="0" w:after="283"/>
              <w:jc w:val="left"/>
              <w:rPr/>
            </w:pPr>
            <w:r>
              <w:rPr/>
              <w:t>Dilution in unaudited pro forma net tangible book value per share of our Common Stock to new investors purchasing our Common Stock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6.92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10,193,680 shares of our Common Stock are sold at a price of $9.81, which was the last reported sale price of our Common Stock on Nasdaq on November 5, 2024, per share for aggregate gross proceeds of $100,000,000. An increase of $1 per share in the price at which the shares of our Common Stock are sold from the assumed offering price of $10.81 per share shown in the table above, assuming all of the shares of our Common Stock in the aggregate amount of $100,000,000 are sold at that price, would increase our as unaudited adjusted pro forma net tangible book value per share of our Common Stock after the offering of $2.94 per share and would result in dilution in net tangible book value per share of our Common Stock to new investors to $7.87 per share, after deducting estimated aggregate offering expenses payable by us. A decrease of $1 per share in the price at which the shares are sold from the assumed offering price of $8.81 per share shown in the table above, assuming all of the shares of our Common Stock in the aggregate amount of $100,000,000 are sold at that price, would increase our as unaudited adjusted pro forma net tangible book value per share of our Common Stock after the offering of $2.82 per share and would result in dilution in net tangible book value per share of our Common Stock to new investors of $5.99 per share, after deducting estimated aggregate offering expenses payable by us. This information is supplied for illustrative purposes only and may differ based on the actual offering price and the actual number of shares of our Common Stock sold in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expected to be outstanding immediately after this offering included in the table above is based on 42,844,956 shares of our Common Stock, reflective of the number of shares of our Common Stock outstanding as of September 30, 2024, and does not reflect issuances subsequent to September 30, 2024. As of November 5, 2024, there were 44,298,197 shares of our Common Stock outstanding, and, assuming the sale of 10,193,680 shares of our Common Stock in this offering at an offering price of $9.81 per share, there will be approximately 54,491,877 shares of our Common Stock outstanding. The actual number of shares of our Common Stock issued will vary depending on the sale price under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other shares of our Common Stock are issued,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n_007"/>
      <w:bookmarkEnd w:id="11"/>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the Common Stock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n_008"/>
      <w:bookmarkEnd w:id="12"/>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Distribution Agreement with the Agents on November 7, 2024, under which we may offer and sell up to $100,000,000 of our shares of Common Stock from time to time through the Agents. Sales of our shares of Common Stock, if any, under this prospectus supplement and the accompanying prospectus will be made by any method that is deemed to be an “at the market offering” as defined in Rule 415(a)(4)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our shares of Common Stock under the Distribution Agreement, we will notify the Agents of the number of shares to be issued, the dates on which such sales are anticipated to be made, any limitation on the number of shares to be sold in any one day and any minimum price below which sales may not be made. Once we have so instructed the Agents, unless the Agents decline to accept the terms of such notice, the Agents have agreed to use their commercially reasonable efforts consistent with normal trading and sales practices to sell such shares up to the amount specified on such terms. The obligations of the Agents under the Distribution Agreement to sell our shares of Common Stock are subject to a number of conditions that we must meet.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between us and the Agents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Northland may agree upon. There is no arrangement for funds to be received in an escrow, trust or similar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Agents a commission equal to 3% of the gross offering proceeds of the shares of Common Stock sold pursuant to the Distribution Agreement. Because there is no minimum offering amount required as a condition to close this offering, the actual total public offering amount, commissions and proceeds to us, if any, are not determinable at this time. In addition, we have agreed in the Distribution Agreement to reimburse the Agents for the fees and disbursements of its counsel incurred in connection with the offering contemplated by the Distribution Agreement, including any review and qualification by FINRA, in an amount not to exceed $75,000 through the fourth business day following execution of the Distribution Agreement, in addition to an amount up to $10,000 for each quarterly period thereafter. We estimate that the total expenses for the offering, excluding any commissions or expense reimbursement payable to the Agents under the terms of the Sale Agreement, will be approximately $95,000. The remaining sale proceeds, after deducting any other transaction fees, will equal our net proceeds from the sale of such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will provide written confirmation to us following the close of trading on Nasdaq each day in which shares of our Common Stock are sold under the Distribution Agreement setting forth (i) the amount sold on such day, (ii) the price or prices at which such shares were sold on such day, (iii) the gross offering proceeds received from such sale, (iv) the net proceeds to the Company and (v) the commission payable by the Company to the Agents with respect to such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shares of Common Stock on our behalf, the Agents will be deemed to be an “underwriter” within the meaning of the Securities Act, and the compensation of the Agents will be deemed to be underwriting commissions or discounts. We have agreed to indemnify the Agents against certain civil liabilities, including liabilities under the Securities Act. We have also agreed to contribute to payments the Agents may be required to make in respect of such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shares of Common Stock pursuant to the Distribution Agreement will terminate upon the earlier of (i) the sale of all shares of Common Stock subject to the Distribution Agreement and (ii) the termination of the Distribution Agreement as permitted therein. We and the Agents may each terminate the Distribution Agreement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Distribution Agreement does not purport to be a complete statement of its terms and conditions. A copy of the Distribution Agreement will be filed as an exhibit to a current report on Form 8-K filed under the Exchange Act and incorporated by reference in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Agents and their affiliates may in the future provide various investment banking, commercial banking, financial advisory and other financial services for us and our affiliates, for which services they may in the future receive customary fees. In the course of their business, the Agents may actively trade our securities for its own account or for the accounts of customers, and, accordingly, the Agents may at any time hold long or short positions in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and the accompanying prospectus in electronic format may be made available on a website maintained by the Agents, and the Agents may distribute the prospectus supplement and the accompanying prospectus electronically.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Capital Markets is the trade name for certain capital markets and investment banking divisions of Northland Securities, Inc., Member FINRA and SIPC.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n_009"/>
      <w:bookmarkEnd w:id="13"/>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will be passed upon for the Company by Orrick, Herrington &amp; Sutcliffe LLP, Boston, Massachusetts. Faegre Drinker Biddle &amp; Reath LLP is acting as counsel for the Agents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n_010"/>
      <w:bookmarkEnd w:id="14"/>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dbbmckennnon, independent registered public accounting firm, has audited our financial statements included in our Annual Report on Form 10-K for the year ended December 31, 2023, as set forth in their report (which contains an explanatory paragraph relating to substantial doubt about the ability of the Company to continue as a going concern, as described in Note 2 to the financial statements), which is incorporated by reference in this prospectus supplement and elsewhere in the prospectus. Our financial statements are incorporated by reference in reliance on dbbmckennon’s report, given on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782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16478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Debt Securities</w:t>
        <w:br/>
        <w:t>Warrants</w:t>
        <w:br/>
        <w:t>Rights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in one or more offerings, in amounts, at prices and on terms determined at the time of any such offering, common stock, preferred stock, debt securities, warrants or rights, either individually or in units, with a total value of up to $200,000,000.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describes some of the general terms that may apply to these securities. Each time securities are sold, the specific terms and amounts of the securities being offered, and any other information relating to the specific offering will be set forth in a supplement to this base prospectus. We may also authorize one or more free writing prospectuses to be provided to you in connection with these offerings. The prospectus supplement and any related free writing prospectus may also supplement, update or amend information contained in this base prospectus. You should read this base prospectus, the applicable prospectus supplement and any related free writing prospectus, as well as any documents incorporated by reference, before you invest in any of the securities being offered.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BASE PROSPECTUS MAY NOT BE USED TO OFFER AND SELL SECURITIES UNLESS ACCOMPANIED BY A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Capital Market under the symbol “SERV.” On September 26, 2024, the last reported sale price of the common stock on The Nasdaq Capital Market was $7.69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from time to time in amounts, at prices and on terms determined at the time of offering. We may offer and sell the securities directly to you, through agents we select or through underwriters and dealers we select on a continuous or delayed basis. The accompanying prospectus supplement will provide the specific terms of the plan of distribution. If we use agents, underwriters or dealers to sell the securities, we will name them and describe their compensation in the prospectus supplement. The price to the public of such securities and the net proceeds we expect to receive from such sale will also be set forth in the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under federal securities laws and, as such, are subject to reduced public company reporting requirements. See “Prospectus Summary—Implications of Being an Emerging Growth Company and a Smaller Reporting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carefully read and consider the risk factors described in this base prospectus, any accompanying prospectus supplement, any related free writing prospectus and in the documents incorporated by reference into this base prospectus. See “Risk Factors” beginning on page 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determined if this base prospectus is truthful or complete.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base prospectus is October 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8150"/>
        <w:gridCol w:w="275"/>
      </w:tblGrid>
      <w:tr>
        <w:trPr/>
        <w:tc>
          <w:tcPr>
            <w:tcW w:w="8150" w:type="dxa"/>
            <w:tcBorders/>
            <w:shd w:fill="CCEEFF" w:val="clear"/>
            <w:vAlign w:val="center"/>
          </w:tcPr>
          <w:p>
            <w:pPr>
              <w:pStyle w:val="TableContents"/>
              <w:bidi w:val="0"/>
              <w:spacing w:before="0" w:after="283"/>
              <w:ind w:left="0" w:right="0" w:hanging="720"/>
              <w:jc w:val="left"/>
              <w:rPr/>
            </w:pPr>
            <w:hyperlink w:anchor="a_001">
              <w:r>
                <w:rPr>
                  <w:rStyle w:val="InternetLink"/>
                </w:rPr>
                <w:t>ABOUT THIS BASE PROSPECTUS</w:t>
              </w:r>
            </w:hyperlink>
          </w:p>
        </w:tc>
        <w:tc>
          <w:tcPr>
            <w:tcW w:w="275" w:type="dxa"/>
            <w:tcBorders/>
            <w:shd w:fill="CCEEFF" w:val="clear"/>
            <w:vAlign w:val="center"/>
          </w:tcPr>
          <w:p>
            <w:pPr>
              <w:pStyle w:val="TableContents"/>
              <w:bidi w:val="0"/>
              <w:spacing w:before="0" w:after="283"/>
              <w:ind w:left="0" w:right="0" w:hanging="720"/>
              <w:jc w:val="center"/>
              <w:rPr/>
            </w:pPr>
            <w:r>
              <w:rPr/>
              <w:t>ii</w:t>
            </w:r>
          </w:p>
        </w:tc>
      </w:tr>
      <w:tr>
        <w:trPr/>
        <w:tc>
          <w:tcPr>
            <w:tcW w:w="815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275" w:type="dxa"/>
            <w:tcBorders/>
            <w:shd w:fill="FFFFFF" w:val="clear"/>
            <w:vAlign w:val="center"/>
          </w:tcPr>
          <w:p>
            <w:pPr>
              <w:pStyle w:val="TableContents"/>
              <w:bidi w:val="0"/>
              <w:spacing w:before="0" w:after="283"/>
              <w:ind w:left="0" w:right="0" w:hanging="720"/>
              <w:jc w:val="center"/>
              <w:rPr/>
            </w:pPr>
            <w:r>
              <w:rPr/>
              <w:t>1</w:t>
            </w:r>
          </w:p>
        </w:tc>
      </w:tr>
      <w:tr>
        <w:trPr/>
        <w:tc>
          <w:tcPr>
            <w:tcW w:w="8150" w:type="dxa"/>
            <w:tcBorders/>
            <w:shd w:fill="CCEEFF" w:val="clear"/>
            <w:vAlign w:val="center"/>
          </w:tcPr>
          <w:p>
            <w:pPr>
              <w:pStyle w:val="TableContents"/>
              <w:bidi w:val="0"/>
              <w:spacing w:before="0" w:after="283"/>
              <w:jc w:val="left"/>
              <w:rPr/>
            </w:pPr>
            <w:hyperlink w:anchor="a_003">
              <w:r>
                <w:rPr>
                  <w:rStyle w:val="InternetLink"/>
                </w:rPr>
                <w:t>RISK FACTORS</w:t>
              </w:r>
            </w:hyperlink>
          </w:p>
        </w:tc>
        <w:tc>
          <w:tcPr>
            <w:tcW w:w="275" w:type="dxa"/>
            <w:tcBorders/>
            <w:shd w:fill="CCEEFF" w:val="clear"/>
            <w:vAlign w:val="center"/>
          </w:tcPr>
          <w:p>
            <w:pPr>
              <w:pStyle w:val="TableContents"/>
              <w:bidi w:val="0"/>
              <w:spacing w:before="0" w:after="283"/>
              <w:ind w:left="0" w:right="0" w:hanging="720"/>
              <w:jc w:val="center"/>
              <w:rPr/>
            </w:pPr>
            <w:r>
              <w:rPr/>
              <w:t>4</w:t>
            </w:r>
          </w:p>
        </w:tc>
      </w:tr>
      <w:tr>
        <w:trPr/>
        <w:tc>
          <w:tcPr>
            <w:tcW w:w="8150" w:type="dxa"/>
            <w:tcBorders/>
            <w:shd w:fill="FFFFFF" w:val="clear"/>
            <w:vAlign w:val="center"/>
          </w:tcPr>
          <w:p>
            <w:pPr>
              <w:pStyle w:val="TableContents"/>
              <w:bidi w:val="0"/>
              <w:spacing w:before="0" w:after="283"/>
              <w:jc w:val="left"/>
              <w:rPr/>
            </w:pPr>
            <w:hyperlink w:anchor="a_004">
              <w:r>
                <w:rPr>
                  <w:rStyle w:val="InternetLink"/>
                </w:rPr>
                <w:t>CAUTIONARY NOTE REGARDING FORWARD LOOKING INFORMATION</w:t>
              </w:r>
            </w:hyperlink>
          </w:p>
        </w:tc>
        <w:tc>
          <w:tcPr>
            <w:tcW w:w="275" w:type="dxa"/>
            <w:tcBorders/>
            <w:shd w:fill="FFFFFF" w:val="clear"/>
            <w:vAlign w:val="center"/>
          </w:tcPr>
          <w:p>
            <w:pPr>
              <w:pStyle w:val="TableContents"/>
              <w:bidi w:val="0"/>
              <w:spacing w:before="0" w:after="283"/>
              <w:ind w:left="0" w:right="0" w:hanging="720"/>
              <w:jc w:val="center"/>
              <w:rPr/>
            </w:pPr>
            <w:r>
              <w:rPr/>
              <w:t>5</w:t>
            </w:r>
          </w:p>
        </w:tc>
      </w:tr>
      <w:tr>
        <w:trPr/>
        <w:tc>
          <w:tcPr>
            <w:tcW w:w="8150"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275" w:type="dxa"/>
            <w:tcBorders/>
            <w:shd w:fill="CCEEFF" w:val="clear"/>
            <w:vAlign w:val="center"/>
          </w:tcPr>
          <w:p>
            <w:pPr>
              <w:pStyle w:val="TableContents"/>
              <w:bidi w:val="0"/>
              <w:spacing w:before="0" w:after="283"/>
              <w:ind w:left="0" w:right="0" w:hanging="720"/>
              <w:jc w:val="center"/>
              <w:rPr/>
            </w:pPr>
            <w:r>
              <w:rPr/>
              <w:t>6</w:t>
            </w:r>
          </w:p>
        </w:tc>
      </w:tr>
      <w:tr>
        <w:trPr/>
        <w:tc>
          <w:tcPr>
            <w:tcW w:w="8150" w:type="dxa"/>
            <w:tcBorders/>
            <w:shd w:fill="FFFFFF" w:val="clear"/>
            <w:vAlign w:val="center"/>
          </w:tcPr>
          <w:p>
            <w:pPr>
              <w:pStyle w:val="TableContents"/>
              <w:bidi w:val="0"/>
              <w:spacing w:before="0" w:after="283"/>
              <w:jc w:val="left"/>
              <w:rPr/>
            </w:pPr>
            <w:hyperlink w:anchor="a_006">
              <w:r>
                <w:rPr>
                  <w:rStyle w:val="InternetLink"/>
                </w:rPr>
                <w:t>DESCRIPTION OF CAPITAL STOCK</w:t>
              </w:r>
            </w:hyperlink>
          </w:p>
        </w:tc>
        <w:tc>
          <w:tcPr>
            <w:tcW w:w="275" w:type="dxa"/>
            <w:tcBorders/>
            <w:shd w:fill="FFFFFF" w:val="clear"/>
            <w:vAlign w:val="center"/>
          </w:tcPr>
          <w:p>
            <w:pPr>
              <w:pStyle w:val="TableContents"/>
              <w:bidi w:val="0"/>
              <w:spacing w:before="0" w:after="283"/>
              <w:ind w:left="0" w:right="0" w:hanging="720"/>
              <w:jc w:val="center"/>
              <w:rPr/>
            </w:pPr>
            <w:r>
              <w:rPr/>
              <w:t>7</w:t>
            </w:r>
          </w:p>
        </w:tc>
      </w:tr>
      <w:tr>
        <w:trPr/>
        <w:tc>
          <w:tcPr>
            <w:tcW w:w="8150" w:type="dxa"/>
            <w:tcBorders/>
            <w:shd w:fill="CCEEFF" w:val="clear"/>
            <w:vAlign w:val="center"/>
          </w:tcPr>
          <w:p>
            <w:pPr>
              <w:pStyle w:val="TableContents"/>
              <w:bidi w:val="0"/>
              <w:spacing w:before="0" w:after="283"/>
              <w:jc w:val="left"/>
              <w:rPr/>
            </w:pPr>
            <w:hyperlink w:anchor="a_007">
              <w:r>
                <w:rPr>
                  <w:rStyle w:val="InternetLink"/>
                </w:rPr>
                <w:t>ADDITIONAL INFORMATION CONCERNING OUR CAPITAL STOCK</w:t>
              </w:r>
            </w:hyperlink>
          </w:p>
        </w:tc>
        <w:tc>
          <w:tcPr>
            <w:tcW w:w="275" w:type="dxa"/>
            <w:tcBorders/>
            <w:shd w:fill="CCEEFF" w:val="clear"/>
            <w:vAlign w:val="center"/>
          </w:tcPr>
          <w:p>
            <w:pPr>
              <w:pStyle w:val="TableContents"/>
              <w:bidi w:val="0"/>
              <w:spacing w:before="0" w:after="283"/>
              <w:ind w:left="0" w:right="0" w:hanging="720"/>
              <w:jc w:val="center"/>
              <w:rPr/>
            </w:pPr>
            <w:r>
              <w:rPr/>
              <w:t>8</w:t>
            </w:r>
          </w:p>
        </w:tc>
      </w:tr>
      <w:tr>
        <w:trPr/>
        <w:tc>
          <w:tcPr>
            <w:tcW w:w="8150" w:type="dxa"/>
            <w:tcBorders/>
            <w:shd w:fill="FFFFFF" w:val="clear"/>
            <w:vAlign w:val="center"/>
          </w:tcPr>
          <w:p>
            <w:pPr>
              <w:pStyle w:val="TableContents"/>
              <w:bidi w:val="0"/>
              <w:spacing w:before="0" w:after="283"/>
              <w:jc w:val="left"/>
              <w:rPr/>
            </w:pPr>
            <w:hyperlink w:anchor="a_008">
              <w:r>
                <w:rPr>
                  <w:rStyle w:val="InternetLink"/>
                </w:rPr>
                <w:t>DESCRIPTION OF DEBT SECURITIES</w:t>
              </w:r>
            </w:hyperlink>
          </w:p>
        </w:tc>
        <w:tc>
          <w:tcPr>
            <w:tcW w:w="275" w:type="dxa"/>
            <w:tcBorders/>
            <w:shd w:fill="FFFFFF" w:val="clear"/>
            <w:vAlign w:val="center"/>
          </w:tcPr>
          <w:p>
            <w:pPr>
              <w:pStyle w:val="TableContents"/>
              <w:bidi w:val="0"/>
              <w:spacing w:before="0" w:after="283"/>
              <w:ind w:left="0" w:right="0" w:hanging="720"/>
              <w:jc w:val="center"/>
              <w:rPr/>
            </w:pPr>
            <w:r>
              <w:rPr/>
              <w:t>12</w:t>
            </w:r>
          </w:p>
        </w:tc>
      </w:tr>
      <w:tr>
        <w:trPr/>
        <w:tc>
          <w:tcPr>
            <w:tcW w:w="8150" w:type="dxa"/>
            <w:tcBorders/>
            <w:shd w:fill="CCEEFF" w:val="clear"/>
            <w:vAlign w:val="center"/>
          </w:tcPr>
          <w:p>
            <w:pPr>
              <w:pStyle w:val="TableContents"/>
              <w:bidi w:val="0"/>
              <w:spacing w:before="0" w:after="283"/>
              <w:jc w:val="left"/>
              <w:rPr/>
            </w:pPr>
            <w:hyperlink w:anchor="a_009">
              <w:r>
                <w:rPr>
                  <w:rStyle w:val="InternetLink"/>
                </w:rPr>
                <w:t>DESCRIPTION OF WARRANTS</w:t>
              </w:r>
            </w:hyperlink>
          </w:p>
        </w:tc>
        <w:tc>
          <w:tcPr>
            <w:tcW w:w="275" w:type="dxa"/>
            <w:tcBorders/>
            <w:shd w:fill="CCEEFF" w:val="clear"/>
            <w:vAlign w:val="center"/>
          </w:tcPr>
          <w:p>
            <w:pPr>
              <w:pStyle w:val="TableContents"/>
              <w:bidi w:val="0"/>
              <w:spacing w:before="0" w:after="283"/>
              <w:ind w:left="0" w:right="0" w:hanging="720"/>
              <w:jc w:val="center"/>
              <w:rPr/>
            </w:pPr>
            <w:r>
              <w:rPr/>
              <w:t>21</w:t>
            </w:r>
          </w:p>
        </w:tc>
      </w:tr>
      <w:tr>
        <w:trPr/>
        <w:tc>
          <w:tcPr>
            <w:tcW w:w="8150" w:type="dxa"/>
            <w:tcBorders/>
            <w:shd w:fill="FFFFFF" w:val="clear"/>
            <w:vAlign w:val="center"/>
          </w:tcPr>
          <w:p>
            <w:pPr>
              <w:pStyle w:val="TableContents"/>
              <w:bidi w:val="0"/>
              <w:spacing w:before="0" w:after="283"/>
              <w:jc w:val="left"/>
              <w:rPr/>
            </w:pPr>
            <w:hyperlink w:anchor="B_001">
              <w:r>
                <w:rPr>
                  <w:rStyle w:val="InternetLink"/>
                </w:rPr>
                <w:t>DESCRIPTION OF RIGHTS</w:t>
              </w:r>
            </w:hyperlink>
          </w:p>
        </w:tc>
        <w:tc>
          <w:tcPr>
            <w:tcW w:w="275" w:type="dxa"/>
            <w:tcBorders/>
            <w:shd w:fill="FFFFFF" w:val="clear"/>
            <w:vAlign w:val="center"/>
          </w:tcPr>
          <w:p>
            <w:pPr>
              <w:pStyle w:val="TableContents"/>
              <w:bidi w:val="0"/>
              <w:spacing w:before="0" w:after="283"/>
              <w:ind w:left="0" w:right="0" w:hanging="720"/>
              <w:jc w:val="center"/>
              <w:rPr/>
            </w:pPr>
            <w:r>
              <w:rPr/>
              <w:t>23</w:t>
            </w:r>
          </w:p>
        </w:tc>
      </w:tr>
      <w:tr>
        <w:trPr/>
        <w:tc>
          <w:tcPr>
            <w:tcW w:w="8150" w:type="dxa"/>
            <w:tcBorders/>
            <w:shd w:fill="CCEEFF" w:val="clear"/>
            <w:vAlign w:val="center"/>
          </w:tcPr>
          <w:p>
            <w:pPr>
              <w:pStyle w:val="TableContents"/>
              <w:bidi w:val="0"/>
              <w:spacing w:before="0" w:after="283"/>
              <w:jc w:val="left"/>
              <w:rPr/>
            </w:pPr>
            <w:hyperlink w:anchor="a_010">
              <w:r>
                <w:rPr>
                  <w:rStyle w:val="InternetLink"/>
                </w:rPr>
                <w:t>DESCRIPTION OF UNITS</w:t>
              </w:r>
            </w:hyperlink>
          </w:p>
        </w:tc>
        <w:tc>
          <w:tcPr>
            <w:tcW w:w="275" w:type="dxa"/>
            <w:tcBorders/>
            <w:shd w:fill="CCEEFF" w:val="clear"/>
            <w:vAlign w:val="center"/>
          </w:tcPr>
          <w:p>
            <w:pPr>
              <w:pStyle w:val="TableContents"/>
              <w:bidi w:val="0"/>
              <w:spacing w:before="0" w:after="283"/>
              <w:ind w:left="0" w:right="0" w:hanging="720"/>
              <w:jc w:val="center"/>
              <w:rPr/>
            </w:pPr>
            <w:r>
              <w:rPr/>
              <w:t>24</w:t>
            </w:r>
          </w:p>
        </w:tc>
      </w:tr>
      <w:tr>
        <w:trPr/>
        <w:tc>
          <w:tcPr>
            <w:tcW w:w="8150" w:type="dxa"/>
            <w:tcBorders/>
            <w:shd w:fill="FFFFFF" w:val="clear"/>
            <w:vAlign w:val="center"/>
          </w:tcPr>
          <w:p>
            <w:pPr>
              <w:pStyle w:val="TableContents"/>
              <w:bidi w:val="0"/>
              <w:spacing w:before="0" w:after="283"/>
              <w:jc w:val="left"/>
              <w:rPr/>
            </w:pPr>
            <w:hyperlink w:anchor="a_011">
              <w:r>
                <w:rPr>
                  <w:rStyle w:val="InternetLink"/>
                </w:rPr>
                <w:t>PLAN OF DISTRIBUTION</w:t>
              </w:r>
            </w:hyperlink>
          </w:p>
        </w:tc>
        <w:tc>
          <w:tcPr>
            <w:tcW w:w="275" w:type="dxa"/>
            <w:tcBorders/>
            <w:shd w:fill="FFFFFF" w:val="clear"/>
            <w:vAlign w:val="center"/>
          </w:tcPr>
          <w:p>
            <w:pPr>
              <w:pStyle w:val="TableContents"/>
              <w:bidi w:val="0"/>
              <w:spacing w:before="0" w:after="283"/>
              <w:ind w:left="0" w:right="0" w:hanging="720"/>
              <w:jc w:val="center"/>
              <w:rPr/>
            </w:pPr>
            <w:r>
              <w:rPr/>
              <w:t>25</w:t>
            </w:r>
          </w:p>
        </w:tc>
      </w:tr>
      <w:tr>
        <w:trPr/>
        <w:tc>
          <w:tcPr>
            <w:tcW w:w="8150" w:type="dxa"/>
            <w:tcBorders/>
            <w:shd w:fill="CCEEFF" w:val="clear"/>
            <w:vAlign w:val="center"/>
          </w:tcPr>
          <w:p>
            <w:pPr>
              <w:pStyle w:val="TableContents"/>
              <w:bidi w:val="0"/>
              <w:spacing w:before="0" w:after="283"/>
              <w:jc w:val="left"/>
              <w:rPr/>
            </w:pPr>
            <w:hyperlink w:anchor="a_012">
              <w:r>
                <w:rPr>
                  <w:rStyle w:val="InternetLink"/>
                </w:rPr>
                <w:t>LEGAL MATTERS</w:t>
              </w:r>
            </w:hyperlink>
          </w:p>
        </w:tc>
        <w:tc>
          <w:tcPr>
            <w:tcW w:w="275" w:type="dxa"/>
            <w:tcBorders/>
            <w:shd w:fill="CCEEFF" w:val="clear"/>
            <w:vAlign w:val="center"/>
          </w:tcPr>
          <w:p>
            <w:pPr>
              <w:pStyle w:val="TableContents"/>
              <w:bidi w:val="0"/>
              <w:spacing w:before="0" w:after="283"/>
              <w:ind w:left="0" w:right="0" w:hanging="720"/>
              <w:jc w:val="center"/>
              <w:rPr/>
            </w:pPr>
            <w:r>
              <w:rPr/>
              <w:t>27</w:t>
            </w:r>
          </w:p>
        </w:tc>
      </w:tr>
      <w:tr>
        <w:trPr/>
        <w:tc>
          <w:tcPr>
            <w:tcW w:w="8150" w:type="dxa"/>
            <w:tcBorders/>
            <w:shd w:fill="FFFFFF" w:val="clear"/>
            <w:vAlign w:val="center"/>
          </w:tcPr>
          <w:p>
            <w:pPr>
              <w:pStyle w:val="TableContents"/>
              <w:bidi w:val="0"/>
              <w:spacing w:before="0" w:after="283"/>
              <w:jc w:val="left"/>
              <w:rPr/>
            </w:pPr>
            <w:hyperlink w:anchor="a_013">
              <w:r>
                <w:rPr>
                  <w:rStyle w:val="InternetLink"/>
                </w:rPr>
                <w:t>EXPERTS</w:t>
              </w:r>
            </w:hyperlink>
          </w:p>
        </w:tc>
        <w:tc>
          <w:tcPr>
            <w:tcW w:w="275" w:type="dxa"/>
            <w:tcBorders/>
            <w:shd w:fill="FFFFFF" w:val="clear"/>
            <w:vAlign w:val="center"/>
          </w:tcPr>
          <w:p>
            <w:pPr>
              <w:pStyle w:val="TableContents"/>
              <w:bidi w:val="0"/>
              <w:spacing w:before="0" w:after="283"/>
              <w:ind w:left="0" w:right="0" w:hanging="720"/>
              <w:jc w:val="center"/>
              <w:rPr/>
            </w:pPr>
            <w:r>
              <w:rPr/>
              <w:t>27</w:t>
            </w:r>
          </w:p>
        </w:tc>
      </w:tr>
      <w:tr>
        <w:trPr/>
        <w:tc>
          <w:tcPr>
            <w:tcW w:w="8150" w:type="dxa"/>
            <w:tcBorders/>
            <w:shd w:fill="CCEEFF" w:val="clear"/>
            <w:vAlign w:val="center"/>
          </w:tcPr>
          <w:p>
            <w:pPr>
              <w:pStyle w:val="TableContents"/>
              <w:bidi w:val="0"/>
              <w:spacing w:before="0" w:after="283"/>
              <w:jc w:val="left"/>
              <w:rPr/>
            </w:pPr>
            <w:hyperlink w:anchor="a_014">
              <w:r>
                <w:rPr>
                  <w:rStyle w:val="InternetLink"/>
                </w:rPr>
                <w:t>WHERE YOU CAN FIND MORE INFORMATION</w:t>
              </w:r>
            </w:hyperlink>
          </w:p>
        </w:tc>
        <w:tc>
          <w:tcPr>
            <w:tcW w:w="275" w:type="dxa"/>
            <w:tcBorders/>
            <w:shd w:fill="CCEEFF" w:val="clear"/>
            <w:vAlign w:val="center"/>
          </w:tcPr>
          <w:p>
            <w:pPr>
              <w:pStyle w:val="TableContents"/>
              <w:bidi w:val="0"/>
              <w:spacing w:before="0" w:after="283"/>
              <w:ind w:left="0" w:right="0" w:hanging="720"/>
              <w:jc w:val="center"/>
              <w:rPr/>
            </w:pPr>
            <w:r>
              <w:rPr/>
              <w:t>27</w:t>
            </w:r>
          </w:p>
        </w:tc>
      </w:tr>
      <w:tr>
        <w:trPr/>
        <w:tc>
          <w:tcPr>
            <w:tcW w:w="8150" w:type="dxa"/>
            <w:tcBorders/>
            <w:shd w:fill="FFFFFF" w:val="clear"/>
            <w:vAlign w:val="center"/>
          </w:tcPr>
          <w:p>
            <w:pPr>
              <w:pStyle w:val="TableContents"/>
              <w:bidi w:val="0"/>
              <w:spacing w:before="0" w:after="283"/>
              <w:jc w:val="left"/>
              <w:rPr/>
            </w:pPr>
            <w:hyperlink w:anchor="a_015">
              <w:r>
                <w:rPr>
                  <w:rStyle w:val="InternetLink"/>
                </w:rPr>
                <w:t>INCORPORATION OF CERTAIN DOCUMENTS BY REFERENCE</w:t>
              </w:r>
            </w:hyperlink>
          </w:p>
        </w:tc>
        <w:tc>
          <w:tcPr>
            <w:tcW w:w="275" w:type="dxa"/>
            <w:tcBorders/>
            <w:shd w:fill="FFFFFF" w:val="clear"/>
            <w:vAlign w:val="center"/>
          </w:tcPr>
          <w:p>
            <w:pPr>
              <w:pStyle w:val="TableContents"/>
              <w:bidi w:val="0"/>
              <w:spacing w:before="0" w:after="283"/>
              <w:jc w:val="center"/>
              <w:rPr/>
            </w:pPr>
            <w:r>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and incorporated by reference in this base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Neither the delivery of this base prospectus or any accompanying prospectus supplement, nor any sale of securities made under these documents, will, under any circumstances, create any implication that there has been no change in our affairs since the date of this base prospectus, any accompanying prospectus supplement or any free writing prospectus we may provide you in connection with an offering or that the information contained or incorporated by reference is correct as of any time subsequent to the date of such information. You should assume that the information in this base prospectus or any accompanying prospectus supplement, as well as the information incorporated by reference in this base prospectus or any accompanying prospectus supplement, is accurate only as of the date of the documents containing the information, unless the information specifically indicates that another date applies.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5" w:name="a_001"/>
      <w:bookmarkEnd w:id="15"/>
      <w:r>
        <w:rPr>
          <w:rFonts w:ascii="Times New Roman;Times;Serif" w:hAnsi="Times New Roman;Times;Serif"/>
          <w:b/>
          <w:i w:val="false"/>
          <w:caps/>
          <w:sz w:val="20"/>
        </w:rPr>
        <w:t>ABOUT THIS BASE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is part of a registration statement that we filed with the U.S. Securities and Exchange Commission (the “SEC”) using a “shelf” registration process. Under this shelf registration process, we may, from time to time, issue and sell to the public any part of the securities described in this base prospectus in one or more offerings up to a total dollar amount of $200,000,000.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provides you with a general description of the securities we may offer. Each time we sell a type or series of securities under this base prospectus, we will provide a prospectus supplement containing specific information about the terms of that offering. We may also authorize one or more free writing prospectuses to be provided to you that may contain material information relating to these offerings and securities. The prospectus supplement and any free writing prospectus may also add, update or change information in this base prospectus or in documents incorporated by reference in this base prospectus. To the extent that any statement that we make in a prospectus supplement is inconsistent with statements made in this base prospectus or in documents incorporated by reference in this base prospectus, the statements made or incorporated by reference in this base prospectus will be deemed modified or superseded by those made in the prospectus supplement. We urge you to carefully read this base prospectus, any applicable prospectus supplement and any related free writing prospectus, together with the information incorporated herein by reference as described under the heading “Where You Can Find More Information” and “Incorporation of Certain Documents by Reference” before buying any of the securities being offered.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containing this base prospectus, including exhibits to the registration statement, provides additional information about us and the securities offered under this base prospectus. The registration statement can be read at the SEC’s website under the heading “Where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base prospectus, any prospectus supplement or any applicable free writing prospectus may involve estimates, assumptions and other risks and uncertainties and are subject to change based on various factors, including those discussed under the heading “Risk Factors” contained in this base prospectus, the applicable prospectus supplement and any applicable free writing prospectus, and under similar headings in other documents that are incorporated by reference into this base prospectus.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various U.S. federal trademark registrations and applications and unregistered trademarks, including our corporate logo. This base prospectus and the information incorporated herein by reference contains references to trademarks, service marks and trade names owned by us or other companies. Solely for convenience, trademarks, service marks and trade names referred to in this base prospectus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base prospectus, any applicable prospectus supplement or any related free writing prospectus are the property of their respective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16" w:name="a_002"/>
      <w:bookmarkEnd w:id="16"/>
      <w:r>
        <w:rPr>
          <w:rFonts w:ascii="Times New Roman;Times;Serif" w:hAnsi="Times New Roman;Times;Serif"/>
          <w:b/>
          <w:i w:val="false"/>
          <w:caps/>
          <w:sz w:val="20"/>
          <w:bdr w:val="single" w:sz="12" w:space="5" w:color="000000"/>
        </w:rPr>
        <w:t>PROSPECTUS SUMMARY</w:t>
      </w:r>
    </w:p>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description about us and our business highlights selected information contained elsewhere in this base prospectus or incorporated in this base prospectus by reference. This summary does not contain all of the information that may be important to you and your investment decision. Therefore, before making your investment decision, you should carefully read this base prospectus, including any applicable prospectus supplements and any applicable free writing prospectus, together with the additional information described under the headings “Where You Can Find More Information” and “Incorporation of Certain Documents by Reference.” 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About Serve Robotics Inc.</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on a mission to deliver a sustainable future by transforming how goods move among people.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we aim to reshape cities into sustainable, safe and people-friendly environments, with thriving local economies.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our robots had successfully completed over 10,000 commercial deliveries for Postmates Inc. (collectively with its affiliated entities, “Postmates”) in California, augmenting Postmates’ fleet of human couriers.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Postmates was acquired by Uber Technologies, Inc.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us as full-time employees.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spinning off from Uber in 2021, we established a commercial partnership with Uber, with deliveries starting in January 2022 on a small scale. In May 2022, Uber announced a pilot program with us, and by June, it executed a commercial-scale agreement with us to deploy up to 2,000 of our robots across the United States.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current fleet consists of over 100 robots, and we plan to expand our fleet by building and deploying hundreds of new robots in the coming years after raising additional capital. We have platform-level integrations with the Uber Eats division of Uber and 7-Eleven, Inc. Our strategic investors include NVIDIA, Uber, 7-Ventures and Delivery Hero’s corporate venture units, alongside other world-class investors.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 details of our programs are contained in our Annual Report on Form 10-K for the fiscal year ended December 31, 2023.</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Corporate Information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the State of Delaware as Patricia Acquisition Corp. on November 9, 2020. On July 31, 2023, Serve Acquisition Corp. merged with and into Serve (the “Merger”).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and we changed our name to “Serve Robotics Inc.”</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Prior to the Merger, Patricia Acquisition Corp. was a “shell” company registered under the Securities Exchange Act, as amended (the “Exchange Act”), with no specific business plan or purpose until it began operating the business of Serve following the closing of the Merger.</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offices are located at 730 Broadway, Redwood City, California 94063. Our telephone number is (818) 860-1352. Our website address is http://www.serverobotics.com. Information contained on, or that can be accessed through, our website is not a part of this prospectus.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Securities We May Offer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shares of common stock, shares of preferred stock, debt securities, warrants or rights, either individually or in units, with a total value of up to $200,000,000 from time to time under this base prospectus at prices and on terms to be determined by market conditions at the time of the offering. Our common stock currently is quoted on The Nasdaq Capital Market under the symbol “SERV.” Shares of common stock that may be offered in this offering will, when issued and paid for, be fully paid and non-assessable.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refer to our common stock, preferred stock, debt securities, warrants, rights and units in this base prospectus as “securities.” This base prospectus provides you with a general description of the securities we may offer. Each time we offer a type or series of securities, we will provide a prospectus supplement that will describe the specific amounts, prices and other important terms of the securities, as described below under “Plan of Distribution.”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Use of Proceeds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will retain broad discretion over the use of the net proceeds to us from the sale of our securities under this base prospectus. Unless otherwise indicated in one or more prospectus supplements to this base prospectus, we anticipate the net proceeds from the sale of securities offered by this base prospectus and any applicable prospectus supplement or free writing prospectus, and from the exercise price from the exercise of any convertible securities, if any, will be used for general corporate purposes; however, we do not currently have any specific uses of the net proceeds planned.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Implications of Being an Emerging Growth Company and a Smaller Reporting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being permitted to present only two years of audited financial statements and only two years of related “Management’s Discussion and Analysis of Financial Condition and Results of Operations” disclosure in our periodic reports and registration statements;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as amended (the “Sarbanes-Oxley Act”), on the effectiveness of our internal controls over financial reporting;</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reduced disclosure obligations regarding executive compensation arrangements in our periodic reports, proxy statements and registration statements; and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stockholder approval of any golden parachute payments not previously approved.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03"/>
      <w:bookmarkEnd w:id="17"/>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you invest in our securities, in addition to the other information, documents or reports incorporated by reference in this base prospectus and any prospectus supplement or other offering materials, you should carefully consider the risk factors in this section, the section entitled “Risk Factors” in any prospectus supplement as well as our most recent Annual Report on Form 10-K, and in our Quarterly Reports on Form 10-Q filed subsequent to such Annual Report on Form 10-K, which are incorporated by reference into this base prospectus and any prospectus supplement in their entirety, as the same may be amended, supplemented or superseded from time to time by other reports we file with the SEC in the future. Each of the risks described in these sections and documents could materially and adversely affect our business, financial condition, results of operations and prospects, and could result in a partial or complete loss of your investment. The risks and uncertainties we have described are not the only ones we face. Additional risks and uncertainties not presently known to us or that we currently deem immaterial may also affect our operations.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8" w:name="a_004"/>
      <w:bookmarkEnd w:id="18"/>
      <w:r>
        <w:rPr>
          <w:rFonts w:ascii="Times New Roman;Times;Serif" w:hAnsi="Times New Roman;Times;Serif"/>
          <w:b/>
          <w:i w:val="false"/>
          <w:caps/>
          <w:sz w:val="20"/>
        </w:rPr>
        <w:t>CAUTIONARY NOTE REGARDING FORWARD LOOKING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each prospectus supplement and the information incorporated by reference in this base prospectus and each prospectus supplement contain certain statements that constitute “forward-looking statements” within the meaning of Section 27A of the Securities Act and Section 21E of the Exchange Act. All statements, other than statements of historical facts, included or incorporated in this base prospectus regarding our strategy, future operations, financial position, future revenues, projected costs, projected timelines, prospects, plans and objectives of management are forward-looking statements. We may, in some cases, use words such as “believe,” “anticipate,” “should,” “could,” “potentially,” “possibility,” “intend,” “plan,” “may,” “will,” “estimate,” “project,” “expect” and similar expressions and variations thereof are intended to identify forward-looking statements, but are not the exclusive means of such statements. Those statements appear in this base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base prospectus, any prospectus supplement and the information incorporated by reference in this base prospectus and any prospectus supplement also contain statements that are based on the current expectations of the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developments and business decisions may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base prospectus, whether as a result of any new information, future events or otherwise. You should also carefully consider other information set forth in reports or other documents that we file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05"/>
      <w:bookmarkEnd w:id="19"/>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one or more supplements to this base prospectus, we anticipate the net proceeds from the sale of securities offered by this base prospectus and any applicable prospectus supplement or free writing prospectus, and from the exercise price from the exercise of any convertible securities, if any, will be used for general corporate purposes, which may include research and development activities, capital expenditures, selling, general and administrative costs, facilities expansion, and to meet working capital needs. We expect from time to time to evaluate the acquisition of businesses, products and technologies for which a portion of the net proceeds may be used, although we currently are not planning or negotiating any such transactions. Pending such uses, we may invest the net proceeds in investment grade interest-bearing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actually expended for each purpose may vary significantly depending upon numerous factors, including the amount and timing of the proceeds from this offering and progress with the commercial development of our products as well as our clinical development programs and product candidates. Expenditures will also depend upon the establishment of collaborative arrangements with other companies, the availability of additional financing and other factors. As a result, unless otherwise indicated in a prospectus supplement, our management will have broad discretion to allocate the net proceeds we receive from the sale of the securities offered by this base prospectus, and from the exercise price from the exercise of any convertible securities, if any, and investors will be relying on the judgment of our management regarding the application of the net proceeds. Investors will be relying on the judgment of our management regarding the application of the proceeds of any sale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a_006"/>
      <w:bookmarkEnd w:id="20"/>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capital stock consisting of 300,000,000 shares of common stock, par value $0.0001 per share, and 10,000,000 shares of preferred stock, par value $0.0001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25, 2024, we had 42,912,045 shares of common stock outstanding, and no shares of preferred stock issued and outstanding. Unless stated otherwise, the following discussion summarizes the term and provisions of our amended and restated certificate of incorporation and our amended and restated bylaws.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rights and is not subject to conversion, redemption or sinking fund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 to Receive Liquidation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for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VStock Transfer, LLC. The transfer agent’s address is 18 Lafayette Place, Woodmere, NY 11598, and its telephone number is (212) 828-8436.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_007"/>
      <w:bookmarkEnd w:id="21"/>
      <w:r>
        <w:rPr>
          <w:rFonts w:ascii="Times New Roman;Times;Serif" w:hAnsi="Times New Roman;Times;Serif"/>
          <w:b/>
          <w:i w:val="false"/>
          <w:caps/>
          <w:sz w:val="20"/>
        </w:rPr>
        <w:t>ADDITIONAL INFORMATION CONCERNING OUR CAPITAL STOCK</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Delaware General Corporation Law (the “DGCL”), our amended and restated certificate of incorporation, and our amended and restated bylaws following the Merger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before the stockholder became interested, our board of directors approved either the business combination or the transaction which resulted in the stockholder becoming an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merger or consolidation involving the corporation and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sale, transfer, lease, pledge, or other disposition involving the interested stockholder of 10% or more of the assets of the corporation;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exceptions, any transaction that results in the issuance of transfer by the corporation of any stock of the corporation to the interested stockholder;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receipt by the interested stockholder of the benefit of any loans, advances, guarantees, pledges or other financial benefits provided by or through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 and Amended and Restated Bylaw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Vacancies. Our amended and restated bylaws and certificate of incorporation provide, subject to the special rights of the holders of any 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Board. Our amended and restated certificate of incorporation and amended and restated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“Classified Board of Directors” for additional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Removed Only for Cause. Our amended and restated certificate of incorporation provide that stockholders may remove directors only for cause and only by the affirmative vote of the holders of at least two-thirds (2/3) of the voting power of the then-outstanding shares of our capital stock entitled to vote generally in the election of directors, voting together as a single class.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Supermajority Requirements for Amendments of Our Amended and Restated Certificate of Incorporation and Amended and Restated Bylaws. Our amended and restated certificate of incorporation further provide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Securityholder Action; Special Meetings of Stockholders. Our amended and restated certificate of incorporation provide that our stockholders 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Notice Requirements for Securityholder Proposals and Director Nominations.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Cumulative Voting. The DGCL provides that stockholders are not entitled to the right to cumulate votes in the election of directors unless a corporation’s certificate of incorporation provides otherwise. Our amended and restated certificate of incorporation and amended and restated bylaws do not provide for cumulative voting.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Undesignated Preferred Stock. Our amended and restated certificate of incorporation provides that 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Choice of Forum. Our amended and restated certificate of incorporation provides that, unless we consent in writing to the selection of an 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shares of our capital stock shall be deemed to have notice of and consented to the forum selection provisions in the amended and restated certificate of incorporation.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2" w:name="a_008"/>
      <w:bookmarkEnd w:id="22"/>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base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one or more separate indentures that we will enter into with the trustee named in the indenture. The indenture will be qualified under the Trust Indenture Act of 1939, as amended, or the Trust Indenture Act. We have filed a form of indenture under which debt securities may be issued from time to time as an exhibit to the registration statement of which this base prospectus is a part, and supplemental indentures and forms of debt securities containing the terms of the debt securities being offered will be filed as exhibits to the registration statement of which this base prospectus is a part or will be incorporated by reference from reports that we file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base prospectus, as well as the complete indenture that contains the terms of the debt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represent unsecured general obligations of the Company, unless otherwise provided in the applicable offering material.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we may issue. It provides that we may issue debt securities up to the principal amount that we may authorize and may be in any currency or currency unit that we may designate. The prospectus supplement, documents incorporated by reference, or free writing prospectus with respect to any debt securities will set forth the following terms of the debt securities offered pursuant thereto as applicable:</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79"/>
        <w:gridCol w:w="9619"/>
      </w:tblGrid>
      <w:tr>
        <w:trPr/>
        <w:tc>
          <w:tcPr>
            <w:tcW w:w="1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w:t>
            </w:r>
          </w:p>
        </w:tc>
        <w:tc>
          <w:tcPr>
            <w:tcW w:w="96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and series of such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555"/>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w:t>
            </w:r>
          </w:p>
        </w:tc>
        <w:tc>
          <w:tcPr>
            <w:tcW w:w="95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principal amount being offered;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amount authorized and the total amount outstanding as of the most recent practicable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limit upon the aggregate principal amount of such debt securities of such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such debt securities will be in global or other form; the date or dates and method or methods by which principal and any premium on such debt securities is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interest rate or rates (or method by which such rate will be determined),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dates on which any such interest will start accruing, become payable, record dates for interest payments and the method of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and under what circumstances any additional amounts are payable with respect to such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notice, if any, to holders of such debt securities regarding the determination of interest on a floating rate debt security;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basis upon which interest on such debt securities shall be calculated, if other than that of a 360 day year of twelve 30-day months;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place or places where the principal of and interest or additional amounts, if any, on such debt securities will be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redemption or sinking fund provisions, or the terms of any repurchase at the option of the holder of the debt securities; the denominations of such debt securities, if other than $1,000 and integral multiples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rights of the holders of such debt securities to convert the debt securities into and/or exchange the debt securities for, other securities, cash or other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if any, on which payment of principal or any premium, interest or additional amounts on such debt securities will be payable in a currency other than U.S. dollars;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if any, by which the amount of payments of principal or any premium, interest or additional amounts on such debt securities may be determined by reference to an index, formula, financial or economic measure or other methods;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other than the principal amount thereof, the portion of the principal amount of such debt securities that will be payable upon declaration of acceleration of the maturity thereof or the method by which such portion is to be determined;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events of default or covenants in addition to or in lieu of those described herein and remedies therefor;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such debt securities will be subject to defeasance or covenant defeasance;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terms, if any, upon which such debt securities are to be issuable upon the exercise of warrants, units or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any trustees and any authenticating or paying agents or registrars or depositaries or any other agents with respect to such debt securities; whether the debt securities rank as senior debt, senior subordinated debt, subordinated debt or any combination thereof, and the terms of any subordination;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5"/>
        <w:gridCol w:w="9844"/>
      </w:tblGrid>
      <w:tr>
        <w:trPr/>
        <w:tc>
          <w:tcPr>
            <w:tcW w:w="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such debt securities will be guaranteed and the terms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such debt securities will be secured by collateral and the terms of such security;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specific terms of such debt securities and any other deletions from or additions to or modifications of the indenture with respect to such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presented for exchange, conversion or transfer in the manner, at the places and subject to the restrictions set forth in the debt securities and the applicable offering material. Such services will be provided without charge, other than any tax or other governmental charge payable in connection therewith, but subject to the limitations provided in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contain any covenant or other specific provision affording protection to holders of the debt securities in the event of a highly leveraged transaction or a change in control of the Company, except to the limited extent described below under “- Consolidation, Merger and Sale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supplements to the indenture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the stated maturity of the principal of, or any premium, interest or additional amounts on, such debt securities, or reduce the principal amount thereof, or reduce the rate or extend the time of payment of interest or any additional amounts thereon, or reduce any premium payable upon the redemption thereof or otherwise, or change the obligation to pay additional amounts pursuant to the indenture,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currency in which the principal of, or any premium, interest or additional amounts with respect to any debt security is payable, or impair the right of any holder of debt securities to institute suit for the payment after such payment is due (or, in the case of redemption, on or after such redemption date or, in the case of repayment at the option of the holder, on or after such payment is due);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reduce the percentage in principal amount of outstanding debt securities of any series, the consent of the holders of which is required for any such supplemental indenture, or the consent of whose holders is required for any waiver provided for in the indenture, or reduce the requirements for quorum or voting;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modify any of the provisions of the sections of such indenture relating to supplemental indentures with the consent of the holders, waivers of past or existing defaults or waivers of certain covenants, except to increase any such percentage or to provide that certain other provisions of such indenture cannot be modified or waived without the consent of each holder affected thereby;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any change that adversely affects the right to convert or exchange any security into or for common stock or other securities, cash or other property in accordance with the terms of the applicable debt security.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and the trustee may, without the consent of the holders of any series of debt securities issued thereunder, enter into additional supplemental indentures for one of the following purposes: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evidence the succession of another corporation to the Company and the assumption by any such successor of the covenants of the Company in such indenture and in the debt securities issued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add to the covenants of the Company for the benefit of the holders of any series of debt securities issued thereunder or to surrender any right or power conferred on the Company pursuant to the 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7"/>
        <w:gridCol w:w="409"/>
        <w:gridCol w:w="9729"/>
      </w:tblGrid>
      <w:tr>
        <w:trPr/>
        <w:tc>
          <w:tcPr>
            <w:tcW w:w="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establish the form and terms of debt securities issued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evidence and provide for the acceptance of an appointment of a successor trustee under such indenture with respect to one or more series of debt securities issued thereunder and to add to or change any of the provisions of the indenture as necessary to provide for or facilitate the administration of the trusts under such indenture by more than one trustee pursuant to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outstanding debt securities issued thereunder in any material respect;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add to, delete from or revise the conditions, limitations and restrictions on the authorized amount, terms or purposes of issue, authentication and delivery of securities under the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add any additional events of default with respect to all or any series of debt securities (as shall be specified in such supplemental indenture);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22"/>
        <w:gridCol w:w="9942"/>
      </w:tblGrid>
      <w:tr>
        <w:trPr/>
        <w:tc>
          <w:tcPr>
            <w:tcW w:w="4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make provisions with respect to the conversion or exchange rights of holders of debt securities of any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add guarantees in respect of the debt securities of one or more series and to provide for the terms and conditions of release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convey, transfer, assign, mortgage or pledge to the trustee as security for the debt securities of any series any property or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10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6"/>
        <w:gridCol w:w="9724"/>
      </w:tblGrid>
      <w:tr>
        <w:trPr/>
        <w:tc>
          <w:tcPr>
            <w:tcW w:w="5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7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provide for certificated securities in addition to or in place of global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81"/>
        <w:gridCol w:w="9765"/>
      </w:tblGrid>
      <w:tr>
        <w:trPr/>
        <w:tc>
          <w:tcPr>
            <w:tcW w:w="5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qualify such indenture under the Trust Indenture Act of 1939,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make any other change that does not adversely affect the rights of holders of any series of debt securities issued thereunder in any material respect.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any applicable prospectus supplement, documents incorporated by reference or free writing prospectus, the following will be events of default under the indenture with respect to each series of debt securities issued thereunder:</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t>default for 30 days in the payment when due of interest on, or any additional amount in respect of, any series of debt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283"/>
              <w:jc w:val="left"/>
              <w:rPr/>
            </w:pPr>
            <w:r>
              <w:rPr/>
              <w:t>default in the payment of principal of or any premium on any series of the debt securities outstanding under the indenture when due and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2" w:type="dxa"/>
            <w:tcBorders/>
            <w:vAlign w:val="center"/>
          </w:tcPr>
          <w:p>
            <w:pPr>
              <w:pStyle w:val="TableContents"/>
              <w:bidi w:val="0"/>
              <w:spacing w:before="0" w:after="283"/>
              <w:jc w:val="left"/>
              <w:rPr/>
            </w:pPr>
            <w:r>
              <w:rPr/>
              <w:t>default in the deposit, if any, of any sinking fund payment when and as due by the terms of any debt security of such series, subject to any cure period that may be specified in any debt security of such series;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left"/>
              <w:rPr/>
            </w:pPr>
            <w:r>
              <w:rPr/>
              <w:t>failure by the Company for 60 days after receipt by written notice from the trustee upon instruction from holders of at least 25% in principal amount of the debt securities outstanding of such series to observe or perform any of the other covenants or agreements in the indenture and stating that such notice is a “Notice of Default” pursuant to the indenture; provided, that if such failure cannot be cured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U.S. generally accepted accounting principles shall not be deemed to be an event of default;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6"/>
        <w:gridCol w:w="9880"/>
      </w:tblGrid>
      <w:tr>
        <w:trPr/>
        <w:tc>
          <w:tcPr>
            <w:tcW w:w="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(e)</w:t>
            </w:r>
          </w:p>
        </w:tc>
        <w:tc>
          <w:tcPr>
            <w:tcW w:w="9880" w:type="dxa"/>
            <w:tcBorders/>
            <w:vAlign w:val="center"/>
          </w:tcPr>
          <w:p>
            <w:pPr>
              <w:pStyle w:val="TableContents"/>
              <w:bidi w:val="0"/>
              <w:spacing w:before="0" w:after="283"/>
              <w:jc w:val="left"/>
              <w:rPr/>
            </w:pPr>
            <w:r>
              <w:rPr/>
              <w:t>certain events of bankruptcy, insolvency, reorganization or other similar action of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(f)</w:t>
            </w:r>
          </w:p>
        </w:tc>
        <w:tc>
          <w:tcPr>
            <w:tcW w:w="9970" w:type="dxa"/>
            <w:tcBorders/>
            <w:vAlign w:val="center"/>
          </w:tcPr>
          <w:p>
            <w:pPr>
              <w:pStyle w:val="TableContents"/>
              <w:bidi w:val="0"/>
              <w:spacing w:before="0" w:after="283"/>
              <w:jc w:val="left"/>
              <w:rPr/>
            </w:pPr>
            <w:r>
              <w:rPr/>
              <w:t>any other event of default provided in the indenture with respect to a particular series of debt securities, provided that any such event of default that results from a change in U.S. generally accepted accounting principles shall not be deemed to be an event of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 such series to be due and payable. If an event of default described in (e) above shall occur and be continuing then the principal amount (or, in the case of discounted debt securities, the amount specified in the terms thereof) of all the debt securities outstanding shall be and become due and payable immediately, without notice or other action by any holder or the trustee, to the full extent permitted by law. Any past or existing default or event of default with respect to particular series of debt securities under such indenture may be waived by the holders of a majority in aggregate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must periodically furnish the trustee with a written statement as to the Company’s compliance with the covenants contained in the indenture and as to the absence of default under the indenture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trustee may withhold notice to the holders of any default with respect to any series of debt securities (except in payment of principal of or interest or premium on, or sinking fund payment in respect of, the debt securities) if and so long as the board of directors, the executive committee or a trust committee of directors of the trustee and/or responsible officers of the trustee in good faith determine that the withholding of such notice is in the best interest of the holders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a provision entitling the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trustee or of exercising any trust or power conferred upon the trustee with respect to the debt securities of such series; provided, however, that the trustee may decline to follow any such direction if, among other reasons, the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trustee to exercise its powers under such indenture, indemnify the trustee and afford the trustee reasonable opportunity to act. Notwithstanding the foregoing, the holder has an absolute right to receipt of the principal of, premium, if any, and interest when due on the debt securities, to require conversion of debt securities if such indenture provides for convertibility at the option of the holder and to institute suit for the enforcement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Payment of Principal, any Premium, Interest or Additional Amounts</w:t>
      </w:r>
      <w:r>
        <w:rPr>
          <w:rFonts w:ascii="Times New Roman;Times;Serif" w:hAnsi="Times New Roman;Times;Serif"/>
          <w:b w:val="false"/>
          <w:i w:val="false"/>
          <w:caps w:val="false"/>
          <w:smallCaps w:val="false"/>
          <w:sz w:val="20"/>
        </w:rPr>
        <w:t>. The Company will duly and punctually pay the principal of, and premium and interest on or any additional amounts payable with respect to, any debt securities of any series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The Company will be required to maintain an office or agency in each place of payment for each series of debt securities for notice and demand purposes and for the purposes of presenting or surrendering debt securities for payment, registration of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So long as any debt securities of a particular series are outstanding under the indenture, the Company will file with the trustee, within 30 days after the Company has filed the same with the SEC, unless such reports are available on the SEC’s EDGAR filing system (or any successor thereto),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Exchange Act; or, if the Company is not required to file information, documents or reports pursuant to either of said Sections, then it shall file with the trustee and the SEC, in accordance with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Covenants</w:t>
      </w:r>
      <w:r>
        <w:rPr>
          <w:rFonts w:ascii="Times New Roman;Times;Serif" w:hAnsi="Times New Roman;Times;Serif"/>
          <w:b w:val="false"/>
          <w:i w:val="false"/>
          <w:caps w:val="false"/>
          <w:smallCaps w:val="false"/>
          <w:sz w:val="20"/>
        </w:rPr>
        <w:t>. Any additional covenants of the Company with respect to any series of debt securities will be set forth in the applicable prospectus supplement, documents incorporated by reference or free writing prospectus relating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the debt securities are convertible into common stock or preferred stock will be set forth in the applicable prospectus supplement, documents incorporated by reference or free writing prospectus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Repurchase at the Option of the Holder;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documents incorporated by reference or free writing prospectus relating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Repurchases on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with respect to each series of debt securities issued thereunder, that the Company may satisfy and discharge its obligations under such debt securities of a series and such indenture with respect to debt securities of such series if:</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left"/>
              <w:rPr/>
            </w:pPr>
            <w:r>
              <w:rPr/>
              <w:t>all debt securities of such series previously authenticated and delivered, with certain exceptions, have been delivered to the trustee for cancellation;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9"/>
        <w:gridCol w:w="8086"/>
        <w:gridCol w:w="1060"/>
      </w:tblGrid>
      <w:tr>
        <w:trPr/>
        <w:tc>
          <w:tcPr>
            <w:tcW w:w="1059"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pPr>
            <w:r>
              <w:rPr/>
              <w:t>(b)</w:t>
            </w:r>
          </w:p>
        </w:tc>
        <w:tc>
          <w:tcPr>
            <w:tcW w:w="10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the debt securities of such series have become due and payable, or mature within one year, or all of them are to be called for redemption within one year under arrangements satisfactory to the trustee for giving the notice of redemption and the Company irrevocably deposits in trust with the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trustee) to pay and discharge the entire indebtedness on the debt securities of such series to maturity or redemption, as the case may be, and pays all other sums payable by it under such indenture;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the Company delivers to the trustee an officers’ certificate and an opinion of counsel, in each case stating that all conditions precedent provided for in such indenture relating to the satisfaction and discharge of such indenture with respect to the debt securities of such series have been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 Consolidation, Merger and Sale of Assets” and any other additional covenants established pursuant to the terms of such series, and such omission shall be deemed not to be an event of default under clause (d) or (f) of the first paragraph of “- Events of Default” and (2) the occurrence of any event described in clause (f) of the first paragraph of “- Events of Default” shall not be deemed to be an event of default, in each case with respect to the outstanding debt securities of such series ((1) and (2) of this clause (ii), “covenant defeasance”); provided that the following conditions shall have been satisfied with respect to such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left"/>
              <w:rPr/>
            </w:pPr>
            <w:r>
              <w:rPr/>
              <w:t>the Company has irrevocably deposited in trust with the trustee as trust funds solely for the benefit of the holders of the debt securities of such series, for payment of the principal of and interest of the debt securities of such series, money or government obligations or a combination thereof sufficient (in the opinion of a nationally recognized independent registered public accounting firm expressed in a written certification thereof delivered to the trustee) without consideration of any reinvestment to pay and discharge the principal of and accrued interest on the outstanding debt securities of such series to maturity or earlier redemption, as the case may be;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left"/>
              <w:rPr/>
            </w:pPr>
            <w:r>
              <w:rPr/>
              <w:t>such defeasance or covenant defeasance will not result in a breach or violation of, or constitute a default under, such indenture or any other material agreement or instrument to which the Company is a party or by which it is bound;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(c)</w:t>
            </w:r>
          </w:p>
        </w:tc>
        <w:tc>
          <w:tcPr>
            <w:tcW w:w="9934" w:type="dxa"/>
            <w:tcBorders/>
            <w:vAlign w:val="center"/>
          </w:tcPr>
          <w:p>
            <w:pPr>
              <w:pStyle w:val="TableContents"/>
              <w:bidi w:val="0"/>
              <w:spacing w:before="0" w:after="283"/>
              <w:jc w:val="left"/>
              <w:rPr/>
            </w:pPr>
            <w:r>
              <w:rPr/>
              <w:t>no event of default or event which with notice or lapse of time would become an event of default with respect to such debt securities of such series shall have occurred and be continuing on the date of such deposit;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left"/>
              <w:rPr/>
            </w:pPr>
            <w:r>
              <w:rPr/>
              <w:t>the Company shall have delivered to such trustee an opinion of counsel as described in the indenture to the effect that the holders of the debt securities of such series will not recognize income, gain or loss 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left"/>
              <w:rPr/>
            </w:pPr>
            <w:r>
              <w:rPr/>
              <w:t>the Company has delivered to the trustee an officers’ certificate and an opinion of counsel, in each case stating that all conditions precedent provided for in such indenture relating to the defeasance contemplated have been complied 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9953" w:type="dxa"/>
            <w:tcBorders/>
            <w:vAlign w:val="center"/>
          </w:tcPr>
          <w:p>
            <w:pPr>
              <w:pStyle w:val="TableContents"/>
              <w:bidi w:val="0"/>
              <w:spacing w:before="0" w:after="283"/>
              <w:jc w:val="left"/>
              <w:rPr/>
            </w:pPr>
            <w:r>
              <w:rPr/>
              <w:t>if the debt securities are to be redeemed prior to their maturity, notice of such redemption shall have been duly given or in another manner satisfactory to the trustee;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(g)</w:t>
            </w:r>
          </w:p>
        </w:tc>
        <w:tc>
          <w:tcPr>
            <w:tcW w:w="9906" w:type="dxa"/>
            <w:tcBorders/>
            <w:vAlign w:val="center"/>
          </w:tcPr>
          <w:p>
            <w:pPr>
              <w:pStyle w:val="TableContents"/>
              <w:bidi w:val="0"/>
              <w:spacing w:before="0" w:after="283"/>
              <w:jc w:val="left"/>
              <w:rPr/>
            </w:pPr>
            <w:r>
              <w:rPr/>
              <w:t>any such defeasance or covenant defeasance shall comply with any additional or substitute terms provided for by the terms of such debt securities of such series.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left"/>
              <w:rPr/>
            </w:pPr>
            <w:r>
              <w:rPr/>
              <w:t>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 and any rights of such holder to convert or exchange such debt securities into common stock or other securities, cash or other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9" w:type="dxa"/>
            <w:tcBorders/>
            <w:vAlign w:val="center"/>
          </w:tcPr>
          <w:p>
            <w:pPr>
              <w:pStyle w:val="TableContents"/>
              <w:bidi w:val="0"/>
              <w:spacing w:before="0" w:after="283"/>
              <w:jc w:val="left"/>
              <w:rPr/>
            </w:pPr>
            <w:r>
              <w:rPr/>
              <w:t>the issuance of temporary debt securities, the registration, transfer and exchange of debt securities, the replacement of mutilated, destroyed, lost or stolen debt securities and the maintenance of an office or agency for payment and holding payments in trust, and the Company’s obligations with respect to the payment of additional amounts, if any, on such securities, and with respect to any rights to convert or exchange such securities into common stock or other securities, cash or other property;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left"/>
              <w:rPr/>
            </w:pPr>
            <w:r>
              <w:rPr/>
              <w:t>the rights, powers, trusts, duties and immunities of the trustee, and the Company’s obligations in connection therewith;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5"/>
        <w:gridCol w:w="9702"/>
      </w:tblGrid>
      <w:tr>
        <w:trPr/>
        <w:tc>
          <w:tcPr>
            <w:tcW w:w="5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pPr>
            <w:r>
              <w:rPr/>
              <w:t>(d)</w:t>
            </w:r>
          </w:p>
        </w:tc>
        <w:tc>
          <w:tcPr>
            <w:tcW w:w="9702" w:type="dxa"/>
            <w:tcBorders/>
            <w:vAlign w:val="center"/>
          </w:tcPr>
          <w:p>
            <w:pPr>
              <w:pStyle w:val="TableContents"/>
              <w:bidi w:val="0"/>
              <w:spacing w:before="0" w:after="283"/>
              <w:jc w:val="left"/>
              <w:rPr/>
            </w:pPr>
            <w:r>
              <w:rPr/>
              <w:t>the defeasance or covenant defeasance provisions of the 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the indenture, undertakes to perform only those duties as are specifically set forth in the indenture. Upon an event of default under the indenture, the trustee must use the same degree of care as a prudent person would exercise or use under the circumstances in the conduct of his or her own affairs. Subject to this provision and certain other limitations, the trustee is under no obligation to exercise any of the powers given it by the indenture at the request of any holder of debt securities unless it is offered indemnity satisfactory to it against the costs, expenses and liabilities that it might incur.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debt securities and the indenture will be governed by and construed in accordance with the laws of the State of New York, except to the extent that the Trust Indenture Act is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_009"/>
      <w:bookmarkEnd w:id="23"/>
      <w:r>
        <w:rPr>
          <w:rFonts w:ascii="Times New Roman;Times;Serif" w:hAnsi="Times New Roman;Times;Serif"/>
          <w:b/>
          <w:i w:val="false"/>
          <w:caps/>
          <w:sz w:val="20"/>
        </w:rPr>
        <w:t>DESCRIPTION OF WARRANTS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warrants that we may offer under this base prospectus and the related warrant agreements and warrant certificates. While the terms summarized below will apply generally to any warrants that we may offer, we will describe the particular terms of any series of warrants in more detail in the applicable prospectus supplement. The terms of any warrants offered under that prospectus supplement may differ from the terms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together with the additional information we may include in any applicable prospectus supplements does not purport to be complete and is subject to, and qualified in its entirety by reference to, the form of warrant agreement and form of warrant certificate relating to each series of warrants that will be incorporated by reference as an exhibit to the registration statement that includes this base prospectus or as an exhibit to a current report on Form 8-K if we offer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2"/>
        <w:gridCol w:w="9848"/>
      </w:tblGrid>
      <w:tr>
        <w:trPr/>
        <w:tc>
          <w:tcPr>
            <w:tcW w:w="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48" w:type="dxa"/>
            <w:tcBorders/>
            <w:vAlign w:val="center"/>
          </w:tcPr>
          <w:p>
            <w:pPr>
              <w:pStyle w:val="TableContents"/>
              <w:bidi w:val="0"/>
              <w:spacing w:before="0" w:after="283"/>
              <w:jc w:val="left"/>
              <w:rPr/>
            </w:pPr>
            <w:r>
              <w:rPr/>
              <w:t>the offering price and aggregate number of warrants offered;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pPr>
            <w:r>
              <w:rPr/>
              <w:t>the currency for which the warrants may be purchased;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if applicable, the date on and after which the warrants and the related securities will be separately transferable;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in the case of warrants to purchase common stock, the number of shares of common stock purchasable upon the exercise of one warrant and the price at which these shares may be purchased upon such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effect of any merger, consolidation, sale or other disposition of our business on the warrant agreements and the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terms of any rights to redeem or call the warrants, including whether the right to convert or purchase the securities may be forfeited unless exercised before the date specified in a notice of the redemption or call;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kinds, frequency and timing of notice of the redemption or call, including the cities or newspapers where notice will be published;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provisions for changes to or adjustments in the exercise price or number of securities issuable upon exercise of the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left"/>
              <w:rPr/>
            </w:pPr>
            <w:r>
              <w:rPr/>
              <w:t>the dates on which the right to exercise the warrants will commence and expire;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left"/>
              <w:rPr/>
            </w:pPr>
            <w:r>
              <w:rPr/>
              <w:t>the manner in which the warrant agreements and warrants may be modified;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federal income tax consequences of holding or exercising the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4"/>
        <w:gridCol w:w="9870"/>
      </w:tblGrid>
      <w:tr>
        <w:trPr/>
        <w:tc>
          <w:tcPr>
            <w:tcW w:w="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283"/>
              <w:jc w:val="left"/>
              <w:rPr/>
            </w:pPr>
            <w:r>
              <w:rPr/>
              <w:t>the terms of the securities issuable upon exercise of the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4"/>
        <w:gridCol w:w="286"/>
        <w:gridCol w:w="9855"/>
      </w:tblGrid>
      <w:tr>
        <w:trPr/>
        <w:tc>
          <w:tcPr>
            <w:tcW w:w="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left"/>
              <w:rPr/>
            </w:pPr>
            <w:r>
              <w:rPr/>
              <w:t>provisions for the warrants to be held in book entry form;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left"/>
              <w:rPr/>
            </w:pPr>
            <w:r>
              <w:rPr/>
              <w:t>any other specific terms, preferences, rights or limitations of or restrictions on the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 the right to receive dividends, if any, or payments upon our liquidation, dissolution or winding up or to exercise voting rights,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on the expiration date that we set forth in the applicable prospectus supplement. After the close of business on the expiration date, unexercised warrants will become void.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25, 2024, there were warrants outstanding to purchase up to a total of 5,547,024 shares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4" w:name="B_001"/>
      <w:bookmarkEnd w:id="24"/>
      <w:r>
        <w:rPr>
          <w:rFonts w:ascii="Times New Roman;Times;Serif" w:hAnsi="Times New Roman;Times;Serif"/>
          <w:b/>
          <w:i w:val="false"/>
          <w:caps/>
          <w:sz w:val="20"/>
        </w:rPr>
        <w:t>DESCRIPTION OF RIGHTS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rights that we may offer under this prospectus, which consist of rights to purchase our common stock, preferred stock and/or debt securities in one or more series. Rights may be offered independently or together with our common stock, preferred stock, debt securities and/or warrants offered by any prospectus supplement and may be attached to or separate from those securities. While the terms we have summarized below will generally apply to any future rights we may offer pursuant to this prospectus, we will describe the particular terms of any rights that we may offer in more detail in the applicable prospectus supplements. The terms of any rights we offer under a prospectus supplement may differ from the terms we describe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supplements relating to any rights that we offer will include specific terms of any offering of rights for which this prospectus is being delivered, including the following, to the extent applicable:</w:t>
      </w:r>
    </w:p>
    <w:p>
      <w:pPr>
        <w:pStyle w:val="TextBody"/>
        <w:bidi w:val="0"/>
        <w:spacing w:before="0" w:after="0"/>
        <w:ind w:left="0" w:right="0" w:firstLine="720"/>
        <w:jc w:val="left"/>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for determining the persons entitled to participate in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if any, per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exercise price payable for each share of common stock, share of preferred stock or debt security upon the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rights issued or to be issued to each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and terms of the shares of common stock, shares of preferred stock or debt securities that may be purchased per each right;</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to which the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terms of the rights, including the terms, procedures and limitations relating to the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respective dates on which the holder’s ability to exercise the rights will commence and will expire;</w:t>
            </w:r>
          </w:p>
        </w:tc>
      </w:tr>
    </w:tbl>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rights outstanding, if any;</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rights;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to which the rights may include an over-subscription privilege with respect to unsubscribed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applicable, the material terms of any standby underwriting or purchase arrangement entered into by us in connection with the offering of such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supplements of any rights that we may offer will not necessarily be complete and will be qualified in its entirety by reference to the applicable rights agreement and/or rights certificate, which will be filed with the SEC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outstanding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10"/>
      <w:bookmarkEnd w:id="25"/>
      <w:r>
        <w:rPr>
          <w:rFonts w:ascii="Times New Roman;Times;Serif" w:hAnsi="Times New Roman;Times;Serif"/>
          <w:b/>
          <w:i w:val="false"/>
          <w:caps/>
          <w:sz w:val="20"/>
        </w:rPr>
        <w:t>DESCRIPTION OF 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base prospectus. While the terms we have summarized below will apply generally to any units that we may offer under this base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description, together with the additional information we may include in any applicable prospectus supplements, does not purport to be complete and is subject to, and qualified in its entirety by reference to, the form of unit agreement and form of unit certificate relating to each series of units that will be incorporated by reference as an exhibit to the registration statement that includes this base prospectus or as an exhibit to a current report on Form 8-K if we offer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common stock, preferred stock, debt securities, debt obligations of third parties, including U.S. treasury securities, warrants, rights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left"/>
              <w:rPr/>
            </w:pPr>
            <w:r>
              <w:rPr/>
              <w:t>any provisions of the governing unit agreement that differ from those described below;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any provisions for the issuance, payment, settlement, transfer or exchange of the units or of the securities comprising the units.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Capital Stock,” “Description of Debt Securities,” “Description of Warrants” and “Description of Rights” will apply to each unit and to any common stock, preferred stock, debt security, warrants or rights included in each unit,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outstanding units.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6" w:name="a_011"/>
      <w:bookmarkEnd w:id="26"/>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being offered by this base prospectus separately or together through any of the following methods: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left"/>
              <w:rPr/>
            </w:pPr>
            <w:r>
              <w:rPr/>
              <w:t>to or through one or more underwriters or dealers in a public offering and sale by them;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808"/>
        <w:gridCol w:w="9217"/>
      </w:tblGrid>
      <w:tr>
        <w:trPr/>
        <w:tc>
          <w:tcPr>
            <w:tcW w:w="18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pPr>
            <w:r>
              <w:rPr/>
              <w:t>●</w:t>
            </w:r>
          </w:p>
        </w:tc>
        <w:tc>
          <w:tcPr>
            <w:tcW w:w="9217" w:type="dxa"/>
            <w:tcBorders/>
            <w:vAlign w:val="center"/>
          </w:tcPr>
          <w:p>
            <w:pPr>
              <w:pStyle w:val="TableContents"/>
              <w:bidi w:val="0"/>
              <w:spacing w:before="0" w:after="283"/>
              <w:jc w:val="left"/>
              <w:rPr/>
            </w:pPr>
            <w:r>
              <w:rPr/>
              <w:t>directly to investors;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on any national securities exchange or quotation service on which the securities may be listed or quoted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51"/>
        <w:gridCol w:w="9532"/>
      </w:tblGrid>
      <w:tr>
        <w:trPr/>
        <w:tc>
          <w:tcPr>
            <w:tcW w:w="1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pPr>
            <w:r>
              <w:rPr/>
              <w:t>●</w:t>
            </w:r>
          </w:p>
        </w:tc>
        <w:tc>
          <w:tcPr>
            <w:tcW w:w="9532" w:type="dxa"/>
            <w:tcBorders/>
            <w:vAlign w:val="center"/>
          </w:tcPr>
          <w:p>
            <w:pPr>
              <w:pStyle w:val="TableContents"/>
              <w:bidi w:val="0"/>
              <w:spacing w:before="0" w:after="283"/>
              <w:jc w:val="left"/>
              <w:rPr/>
            </w:pPr>
            <w:r>
              <w:rPr/>
              <w:t>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left"/>
              <w:rPr/>
            </w:pPr>
            <w:r>
              <w:rPr/>
              <w:t>in transactions other than on these exchanges or systems or in the over-the-counter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021"/>
        <w:gridCol w:w="8956"/>
      </w:tblGrid>
      <w:tr>
        <w:trPr/>
        <w:tc>
          <w:tcPr>
            <w:tcW w:w="22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w:t>
            </w:r>
          </w:p>
        </w:tc>
        <w:tc>
          <w:tcPr>
            <w:tcW w:w="8956" w:type="dxa"/>
            <w:tcBorders/>
            <w:vAlign w:val="center"/>
          </w:tcPr>
          <w:p>
            <w:pPr>
              <w:pStyle w:val="TableContents"/>
              <w:bidi w:val="0"/>
              <w:spacing w:before="0" w:after="283"/>
              <w:jc w:val="left"/>
              <w:rPr/>
            </w:pPr>
            <w:r>
              <w:rPr/>
              <w:t>through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through block trades in which the broker or dealer engaged to handle the block trade will attempt to sell the securities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left"/>
              <w:rPr/>
            </w:pPr>
            <w:r>
              <w:rPr/>
              <w:t>in “at the market offerings,” within the meaning of Rule 415(a)(4) of the Securities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left"/>
              <w:rPr/>
            </w:pPr>
            <w:r>
              <w:rPr/>
              <w:t>through any combination of these methods of sale;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left"/>
              <w:rPr/>
            </w:pPr>
            <w:r>
              <w:rPr/>
              <w:t>in any manner, as provided in the applicable prospectus supplement.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securities from time to time in one or more transactions: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5"/>
        <w:gridCol w:w="9771"/>
      </w:tblGrid>
      <w:tr>
        <w:trPr/>
        <w:tc>
          <w:tcPr>
            <w:tcW w:w="7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w:t>
            </w:r>
          </w:p>
        </w:tc>
        <w:tc>
          <w:tcPr>
            <w:tcW w:w="9771" w:type="dxa"/>
            <w:tcBorders/>
            <w:vAlign w:val="center"/>
          </w:tcPr>
          <w:p>
            <w:pPr>
              <w:pStyle w:val="TableContents"/>
              <w:bidi w:val="0"/>
              <w:spacing w:before="0" w:after="283"/>
              <w:jc w:val="left"/>
              <w:rPr/>
            </w:pPr>
            <w:r>
              <w:rPr/>
              <w:t>at a fixed price or prices, which may be changed;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8"/>
        <w:gridCol w:w="9743"/>
      </w:tblGrid>
      <w:tr>
        <w:trPr/>
        <w:tc>
          <w:tcPr>
            <w:tcW w:w="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w:t>
            </w:r>
          </w:p>
        </w:tc>
        <w:tc>
          <w:tcPr>
            <w:tcW w:w="9743" w:type="dxa"/>
            <w:tcBorders/>
            <w:vAlign w:val="center"/>
          </w:tcPr>
          <w:p>
            <w:pPr>
              <w:pStyle w:val="TableContents"/>
              <w:bidi w:val="0"/>
              <w:spacing w:before="0" w:after="283"/>
              <w:jc w:val="left"/>
              <w:rPr/>
            </w:pPr>
            <w:r>
              <w:rPr/>
              <w:t>at market prices prevailing at the times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59"/>
        <w:gridCol w:w="9766"/>
      </w:tblGrid>
      <w:tr>
        <w:trPr/>
        <w:tc>
          <w:tcPr>
            <w:tcW w:w="8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left"/>
              <w:rPr/>
            </w:pPr>
            <w:r>
              <w:rPr/>
              <w:t>at prices related to such prevailing market prices;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76" w:type="dxa"/>
            <w:tcBorders/>
            <w:vAlign w:val="center"/>
          </w:tcPr>
          <w:p>
            <w:pPr>
              <w:pStyle w:val="TableContents"/>
              <w:bidi w:val="0"/>
              <w:spacing w:before="0" w:after="283"/>
              <w:jc w:val="left"/>
              <w:rPr/>
            </w:pPr>
            <w:r>
              <w:rPr/>
              <w:t>at varying prices determined at the time of sale;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pPr>
            <w:r>
              <w:rPr/>
              <w:t>●</w:t>
            </w:r>
          </w:p>
        </w:tc>
        <w:tc>
          <w:tcPr>
            <w:tcW w:w="9203" w:type="dxa"/>
            <w:tcBorders/>
            <w:vAlign w:val="center"/>
          </w:tcPr>
          <w:p>
            <w:pPr>
              <w:pStyle w:val="TableContents"/>
              <w:bidi w:val="0"/>
              <w:spacing w:before="0" w:after="283"/>
              <w:jc w:val="left"/>
              <w:rPr/>
            </w:pPr>
            <w:r>
              <w:rPr/>
              <w:t>at negotiated prices.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the method of distribution of the securities in the applicable prospectus supplement. We may also determine the price or other terms of the securities offered under this base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established trading market, other than our common stock, which is traded on The Nasdaq Capital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whether an active trading market will develop for the offered securities or the liquidity of the trading market for any of the securities. We have no current plans for listing of the preferred stock, debt securities, warrants, rights or units on any securities exchange or quotation system. Any such listing with respect to any particular preferred stock, debt securities, warrants, rights or units will be described in the applicable prospectus supplement or other offering materials,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or agents may receive compensation in the form of discounts, concessions or commissions from us or our purchasers (as their agents in connection with the sale of the securities). In addition, underwriters may sell the securities to or through dealers, and those dealers may receive compensation in the form of discounts, concessions or commissions from the underwriters and/or commissions from the purchasers for whom they act as agent.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will identify any such underwriter, dealer or agent, and describe any compensation received by them from us as well as any other offering expenses. Only underwriters named in the prospectus supplement are underwriters of the securities offered by the prospectus supplement. Any initial public offering price and any discounts or concessions allowed or reallowed or paid to dealers may be changed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common stock registered under the registration statement that includes this base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underwriters who participate in the distribution of the securities an option to purchase additional securities to cover overallotments, if any, in connection with the distribution. Any underwriter may engage in overallotment, stabilizing transactions, short-covering transactions and penalty bids in accordance with Regulation M that stabilize, maintain or otherwise affect the price of the offered securities.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common stock in the open market after the distribution is completed to cover short positions. Penalty bids permit the underwriters to reclaim a selling concession from a dealer when the common stock originally sold by the dealer is purchased in a covering transaction to cover short positions. Those activities may cause the price of the common stock to be higher than it would otherwise be. If commenced, the underwriters may discontinue any of the activities at any time.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and their associates may be customers of, engage in transactions with or perform services for us in the ordinary course of business and any such relationships will be described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10% of the net proceeds of any offering of securities made under this base prospectus will be received by FINRA members participating in the offering or affiliates or associated persons of such FINRA members, the offering will be conducted in accordance with FINRA Conduct Rule 5121.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base prospectus may be amended or supplemented from time to time to describe a specific 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a_012"/>
      <w:bookmarkEnd w:id="27"/>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indicates otherwise, the validity of the securities being offered by this base prospectus will be passed upon by Orrick, Herrington &amp; Sutcliffe LLP, Boston, Massachusetts. Additional legal matters may be passed upon for us or any underwriters, dealers or agents, by counsel that we will name in an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a_013"/>
      <w:bookmarkEnd w:id="28"/>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dbbmckennnon, independent registered public accounting firm, has audited our financial statements included in our Annual Report on Form 10-K for the year ended December 31, 2023, as set forth in their report (which contains an explanatory paragraph relating to substantial doubt about the ability of the Company to continue as a going concern, as described in Note 2 to the financial statements), which is incorporated by reference in this base prospectus and elsewhere in the registration statement. Our financial statements are incorporated by reference in reliance on dbbmckennon’s report, given on their authority as experts in accounting and auditing.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a_014"/>
      <w:bookmarkEnd w:id="29"/>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and other information regarding companies that file electronically with the SEC. We file annual, quarterly and current reports, proxy statements and other information with the SEC. Our SEC filings are available free of charge to the public at the SEC’s website at www.sec.gov. We also maintain a website at investors.serverobotics.com where you can access our SEC filings free of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relating to the securities covered by this base prospectus. This base prospectus is a part of the registration statement and does not contain all of the information in the registration statement. Other documents establishing the terms of the offered securities are or may be filed as exhibits to the registration statement or documents incorporated by reference in the registration statement. Whenever a reference is made in this base prospectus to a contract or other document of ours, the reference is only a summary and you should refer to the exhibits that are a part of the registration statement for a copy of the contract or other document. You may review a copy of the registration statement through the SEC’s website, as provided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a_015"/>
      <w:bookmarkEnd w:id="30"/>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applicable law allows us to “incorporate by reference” the information from other documents we file with the SEC, which means that we can disclose important information to you by referring you to those documents instead of having to repeat the information in this base prospectus. The information incorporated by reference is considered to be part of this base prospectus, and later information that we file with the SEC will automatically update and supersede this information. We incorporate by reference the documents listed below and any future filings (including those made after the date of the initial filing of the registration statement of which this base prospectus is a part and prior to the effectiveness of such registration statement) we will make with the SEC under Sections 13(a), 13(c), 14, or 15(d) of the Exchange Act until the termination of the registration statement of which this base prospectus is a part (other than, in each case, documents or information deemed to have been furnished and not filed in accordance with SEC rules):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our Annual Report on Form 10-K for the year ended December 31, 2023 filed with the SEC on </w:t>
            </w:r>
            <w:hyperlink r:id="rId26">
              <w:r>
                <w:rPr>
                  <w:rStyle w:val="InternetLink"/>
                </w:rPr>
                <w:t>February 29, 2024</w:t>
              </w:r>
            </w:hyperlink>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our Quarterly Reports on Form 10-Q for the quarters ended March 31, 2024 and June 30, 2024 filed with the SEC on </w:t>
            </w:r>
            <w:hyperlink r:id="rId27">
              <w:r>
                <w:rPr>
                  <w:rStyle w:val="InternetLink"/>
                </w:rPr>
                <w:t>May 15, 2024</w:t>
              </w:r>
            </w:hyperlink>
            <w:r>
              <w:rPr/>
              <w:t xml:space="preserve"> and </w:t>
            </w:r>
            <w:hyperlink r:id="rId28">
              <w:r>
                <w:rPr>
                  <w:rStyle w:val="InternetLink"/>
                </w:rPr>
                <w:t>August 13, 2024</w:t>
              </w:r>
            </w:hyperlink>
            <w:r>
              <w:rPr/>
              <w:t>,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our Current Reports on Form 8-K filed with the SEC on </w:t>
            </w:r>
            <w:hyperlink r:id="rId29">
              <w:r>
                <w:rPr>
                  <w:rStyle w:val="InternetLink"/>
                </w:rPr>
                <w:t>January 3, 2024</w:t>
              </w:r>
            </w:hyperlink>
            <w:r>
              <w:rPr/>
              <w:t xml:space="preserve">, </w:t>
            </w:r>
            <w:hyperlink r:id="rId30">
              <w:r>
                <w:rPr>
                  <w:rStyle w:val="InternetLink"/>
                </w:rPr>
                <w:t>February 7, 2024</w:t>
              </w:r>
            </w:hyperlink>
            <w:r>
              <w:rPr/>
              <w:t xml:space="preserve">, </w:t>
            </w:r>
            <w:hyperlink r:id="rId31">
              <w:r>
                <w:rPr>
                  <w:rStyle w:val="InternetLink"/>
                </w:rPr>
                <w:t>February 23, 2024</w:t>
              </w:r>
            </w:hyperlink>
            <w:r>
              <w:rPr/>
              <w:t xml:space="preserve">, </w:t>
            </w:r>
            <w:hyperlink r:id="rId32">
              <w:r>
                <w:rPr>
                  <w:rStyle w:val="InternetLink"/>
                </w:rPr>
                <w:t>March 7, 2024</w:t>
              </w:r>
            </w:hyperlink>
            <w:r>
              <w:rPr/>
              <w:t xml:space="preserve">, </w:t>
            </w:r>
            <w:hyperlink r:id="rId33">
              <w:r>
                <w:rPr>
                  <w:rStyle w:val="InternetLink"/>
                </w:rPr>
                <w:t>April 9, 2024</w:t>
              </w:r>
            </w:hyperlink>
            <w:r>
              <w:rPr/>
              <w:t xml:space="preserve">, </w:t>
            </w:r>
            <w:hyperlink r:id="rId34">
              <w:r>
                <w:rPr>
                  <w:rStyle w:val="InternetLink"/>
                </w:rPr>
                <w:t>April 18, 2024</w:t>
              </w:r>
            </w:hyperlink>
            <w:r>
              <w:rPr/>
              <w:t xml:space="preserve">, </w:t>
            </w:r>
            <w:hyperlink r:id="rId35">
              <w:r>
                <w:rPr>
                  <w:rStyle w:val="InternetLink"/>
                </w:rPr>
                <w:t>April 23, 2024</w:t>
              </w:r>
            </w:hyperlink>
            <w:r>
              <w:rPr/>
              <w:t xml:space="preserve">, </w:t>
            </w:r>
            <w:hyperlink r:id="rId36">
              <w:r>
                <w:rPr>
                  <w:rStyle w:val="InternetLink"/>
                </w:rPr>
                <w:t>April 24, 2024</w:t>
              </w:r>
            </w:hyperlink>
            <w:r>
              <w:rPr/>
              <w:t xml:space="preserve">, </w:t>
            </w:r>
            <w:hyperlink r:id="rId37">
              <w:r>
                <w:rPr>
                  <w:rStyle w:val="InternetLink"/>
                </w:rPr>
                <w:t>May 15, 2024</w:t>
              </w:r>
            </w:hyperlink>
            <w:r>
              <w:rPr/>
              <w:t xml:space="preserve">, </w:t>
            </w:r>
            <w:hyperlink r:id="rId38">
              <w:r>
                <w:rPr>
                  <w:rStyle w:val="InternetLink"/>
                </w:rPr>
                <w:t>June 3, 2024</w:t>
              </w:r>
            </w:hyperlink>
            <w:r>
              <w:rPr/>
              <w:t xml:space="preserve">, </w:t>
            </w:r>
            <w:hyperlink r:id="rId39">
              <w:r>
                <w:rPr>
                  <w:rStyle w:val="InternetLink"/>
                </w:rPr>
                <w:t>July 23, 2024</w:t>
              </w:r>
            </w:hyperlink>
            <w:r>
              <w:rPr/>
              <w:t xml:space="preserve">, </w:t>
            </w:r>
            <w:hyperlink r:id="rId40">
              <w:r>
                <w:rPr>
                  <w:rStyle w:val="InternetLink"/>
                </w:rPr>
                <w:t>July 24, 2024</w:t>
              </w:r>
            </w:hyperlink>
            <w:r>
              <w:rPr/>
              <w:t xml:space="preserve">, </w:t>
            </w:r>
            <w:hyperlink r:id="rId41">
              <w:r>
                <w:rPr>
                  <w:rStyle w:val="InternetLink"/>
                </w:rPr>
                <w:t>August 13, 2024</w:t>
              </w:r>
            </w:hyperlink>
            <w:r>
              <w:rPr/>
              <w:t xml:space="preserve"> and </w:t>
            </w:r>
            <w:hyperlink r:id="rId42">
              <w:r>
                <w:rPr>
                  <w:rStyle w:val="InternetLink"/>
                </w:rPr>
                <w:t>August 28, 2024</w:t>
              </w:r>
            </w:hyperlink>
            <w:r>
              <w:rPr/>
              <w:t xml:space="preserve"> (in each case, except for information contained therein which is furnished rather than filed);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 xml:space="preserve">the description of our common stock contained in our registration statement on </w:t>
            </w:r>
            <w:hyperlink r:id="rId43">
              <w:r>
                <w:rPr>
                  <w:rStyle w:val="InternetLink"/>
                </w:rPr>
                <w:t>Form 10-12G/A</w:t>
              </w:r>
            </w:hyperlink>
            <w:r>
              <w:rPr/>
              <w:t xml:space="preserve"> filed with the SEC on April 9, 2021, pursuant to Section 12(g) of the Exchange Act, as updated by the description of our common stock contained in </w:t>
            </w:r>
            <w:hyperlink r:id="rId44">
              <w:r>
                <w:rPr>
                  <w:rStyle w:val="InternetLink"/>
                </w:rPr>
                <w:t>Exhibit 4.8</w:t>
              </w:r>
            </w:hyperlink>
            <w:r>
              <w:rPr/>
              <w:t xml:space="preserve"> to the FY 2023 Form 10-K, and including any other amendments or reports filed for the purpose of updating such description.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base prospectus, or in a document all or a portion of which is incorporated by reference, shall be modified or superseded for purposes of this base prospectus to the extent that a statement contained in this base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base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we will provide, without charge, to each person, including any beneficial owner, to whom a copy of this base prospectus is delivered, a copy of the documents incorporated by reference into this base prospectus but not delivered with this base prospectus. You may request a copy of these filings, and any exhibits we have specifically incorporated by reference as an exhibit in this base prospectus, at no cost to you by writing or telephoning us at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 Robotics Inc.</w:t>
        <w:br/>
        <w:t>730 Broadway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Redwood City, California 94063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Brian Read, Chief Financial Officer</w:t>
        <w:br/>
        <w:t>(818) 860-1352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these documents, free of charge on the SEC’s website at www.sec.gov or on our website at investors.serverobotics.com. Information contained on our website is not incorporated by reference into this base prospectus, and you should not consider any information on, or that can be accessed from, our website as part of this base prospectus or any accompanying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$100,000,000 maximum aggregate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4782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5"/>
                    <a:stretch>
                      <a:fillRect/>
                    </a:stretch>
                  </pic:blipFill>
                  <pic:spPr bwMode="auto">
                    <a:xfrm>
                      <a:off x="0" y="0"/>
                      <a:ext cx="164782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330"/>
        <w:gridCol w:w="1970"/>
        <w:gridCol w:w="1910"/>
      </w:tblGrid>
      <w:tr>
        <w:trPr/>
        <w:tc>
          <w:tcPr>
            <w:tcW w:w="23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Northland Capital Markets</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 Riley Securities, Inc.</w:t>
            </w:r>
          </w:p>
        </w:tc>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Ladenburg Thalmann</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2483/000121390024018566/ea0200355-10k_serverobot.htm" TargetMode="External"/><Relationship Id="rId4" Type="http://schemas.openxmlformats.org/officeDocument/2006/relationships/hyperlink" Target="https://www.sec.gov/ix?doc=/Archives/edgar/data/1832483/000121390023039642/f10q0323_patriciaacq.htm" TargetMode="External"/><Relationship Id="rId5" Type="http://schemas.openxmlformats.org/officeDocument/2006/relationships/hyperlink" Target="https://www.sec.gov/ix?doc=/Archives/edgar/data/1832483/000183248324000016/serv-20240630.htm" TargetMode="External"/><Relationship Id="rId6" Type="http://schemas.openxmlformats.org/officeDocument/2006/relationships/hyperlink" Target="https://www.sec.gov/ix?doc=/Archives/edgar/data/1832483/000183248324000029/serv-20240930.htm" TargetMode="External"/><Relationship Id="rId7" Type="http://schemas.openxmlformats.org/officeDocument/2006/relationships/hyperlink" Target="https://www.sec.gov/Archives/edgar/data/1832483/000121390024000500/ea190928-8k_serverobo.htm" TargetMode="External"/><Relationship Id="rId8" Type="http://schemas.openxmlformats.org/officeDocument/2006/relationships/hyperlink" Target="https://www.sec.gov/Archives/edgar/data/1832483/000121390024011153/ea192920-8k_serverobo.htm" TargetMode="External"/><Relationship Id="rId9" Type="http://schemas.openxmlformats.org/officeDocument/2006/relationships/hyperlink" Target="https://www.sec.gov/Archives/edgar/data/1832483/000121390024016482/ea0200460-8k_serverobo.htm" TargetMode="External"/><Relationship Id="rId10" Type="http://schemas.openxmlformats.org/officeDocument/2006/relationships/hyperlink" Target="https://www.sec.gov/Archives/edgar/data/1832483/000121390024020793/ea0201349-8k_serverobo.htm" TargetMode="External"/><Relationship Id="rId11" Type="http://schemas.openxmlformats.org/officeDocument/2006/relationships/hyperlink" Target="https://www.sec.gov/Archives/edgar/data/1832483/000121390024031358/ea0203444-8k_serverob.htm" TargetMode="External"/><Relationship Id="rId12" Type="http://schemas.openxmlformats.org/officeDocument/2006/relationships/hyperlink" Target="https://www.sec.gov/Archives/edgar/data/1832483/000121390024033956/ea0204115-8k_serve.htm" TargetMode="External"/><Relationship Id="rId13" Type="http://schemas.openxmlformats.org/officeDocument/2006/relationships/hyperlink" Target="https://www.sec.gov/Archives/edgar/data/1832483/000121390024035088/ea0204414-8k_serverobo.htm" TargetMode="External"/><Relationship Id="rId14" Type="http://schemas.openxmlformats.org/officeDocument/2006/relationships/hyperlink" Target="https://www.sec.gov/Archives/edgar/data/1832483/000121390024035546/ea0204541-8k_server.htm" TargetMode="External"/><Relationship Id="rId15" Type="http://schemas.openxmlformats.org/officeDocument/2006/relationships/hyperlink" Target="https://www.sec.gov/Archives/edgar/data/1832483/000121390024043177/ea0206093-8k_server.htm" TargetMode="External"/><Relationship Id="rId16" Type="http://schemas.openxmlformats.org/officeDocument/2006/relationships/hyperlink" Target="https://www.sec.gov/Archives/edgar/data/1832483/000121390024048792/ea0207183-8k_serve.htm" TargetMode="External"/><Relationship Id="rId17" Type="http://schemas.openxmlformats.org/officeDocument/2006/relationships/hyperlink" Target="https://www.sec.gov/Archives/edgar/data/1832483/000121390024063643/ea0209876-8k_serve.htm" TargetMode="External"/><Relationship Id="rId18" Type="http://schemas.openxmlformats.org/officeDocument/2006/relationships/hyperlink" Target="https://www.sec.gov/Archives/edgar/data/1832483/000101376224000753/ea0209955-8k_serve.htm" TargetMode="External"/><Relationship Id="rId19" Type="http://schemas.openxmlformats.org/officeDocument/2006/relationships/hyperlink" Target="https://www.sec.gov/Archives/edgar/data/1832483/000183248324000014/serv-20240813.htm" TargetMode="External"/><Relationship Id="rId20" Type="http://schemas.openxmlformats.org/officeDocument/2006/relationships/hyperlink" Target="https://www.sec.gov/Archives/edgar/data/1832483/000121390024073390/ea0212636-8k_serve.htm" TargetMode="External"/><Relationship Id="rId21" Type="http://schemas.openxmlformats.org/officeDocument/2006/relationships/hyperlink" Target="https://www.sec.gov/ix?doc=/Archives/edgar/data/1832483/000183248324000028/serv-20241107.htm" TargetMode="External"/><Relationship Id="rId22" Type="http://schemas.openxmlformats.org/officeDocument/2006/relationships/hyperlink" Target="https://www.sec.gov/ix?doc=/Archives/edgar/data/1832483/000121390024095438/ea0220167-8k_serve.htm" TargetMode="External"/><Relationship Id="rId23" Type="http://schemas.openxmlformats.org/officeDocument/2006/relationships/hyperlink" Target="https://www.sec.gov/Archives/edgar/data/1832483/000121390021021064/ea139136-1012ga1_patriciaacq.htm" TargetMode="External"/><Relationship Id="rId24" Type="http://schemas.openxmlformats.org/officeDocument/2006/relationships/hyperlink" Target="https://www.sec.gov/Archives/edgar/data/1832483/000121390024018566/ea0200355ex4-8_serverobot.htm" TargetMode="External"/><Relationship Id="rId25" Type="http://schemas.openxmlformats.org/officeDocument/2006/relationships/image" Target="media/image1.jpeg"/><Relationship Id="rId26" Type="http://schemas.openxmlformats.org/officeDocument/2006/relationships/hyperlink" Target="http://www.sec.gov/Archives/edgar/data/1832483/000121390024018566/ea0200355-10k_serverobot.htm" TargetMode="External"/><Relationship Id="rId27" Type="http://schemas.openxmlformats.org/officeDocument/2006/relationships/hyperlink" Target="http://www.sec.gov/Archives/edgar/data/1832483/000121390024043174/ea0205869-10q_serverobo.htm" TargetMode="External"/><Relationship Id="rId28" Type="http://schemas.openxmlformats.org/officeDocument/2006/relationships/hyperlink" Target="http://www.sec.gov/Archives/edgar/data/1832483/000183248324000016/serv-20240630.htm" TargetMode="External"/><Relationship Id="rId29" Type="http://schemas.openxmlformats.org/officeDocument/2006/relationships/hyperlink" Target="http://www.sec.gov/Archives/edgar/data/1832483/000121390024000500/ea190928-8k_serverobo.htm" TargetMode="External"/><Relationship Id="rId30" Type="http://schemas.openxmlformats.org/officeDocument/2006/relationships/hyperlink" Target="http://www.sec.gov/Archives/edgar/data/1832483/000121390024011153/ea192920-8k_serverobo.htm" TargetMode="External"/><Relationship Id="rId31" Type="http://schemas.openxmlformats.org/officeDocument/2006/relationships/hyperlink" Target="http://www.sec.gov/Archives/edgar/data/1832483/000121390024016482/ea0200460-8k_serverobo.htm" TargetMode="External"/><Relationship Id="rId32" Type="http://schemas.openxmlformats.org/officeDocument/2006/relationships/hyperlink" Target="http://www.sec.gov/Archives/edgar/data/1832483/000121390024020793/ea0201349-8k_serverobo.htm" TargetMode="External"/><Relationship Id="rId33" Type="http://schemas.openxmlformats.org/officeDocument/2006/relationships/hyperlink" Target="http://www.sec.gov/Archives/edgar/data/1832483/000121390024031358/ea0203444-8k_serverob.htm" TargetMode="External"/><Relationship Id="rId34" Type="http://schemas.openxmlformats.org/officeDocument/2006/relationships/hyperlink" Target="http://www.sec.gov/Archives/edgar/data/1832483/000121390024033956/ea0204115-8k_serve.htm" TargetMode="External"/><Relationship Id="rId35" Type="http://schemas.openxmlformats.org/officeDocument/2006/relationships/hyperlink" Target="http://www.sec.gov/Archives/edgar/data/1832483/000121390024035088/ea0204414-8k_serverobo.htm" TargetMode="External"/><Relationship Id="rId36" Type="http://schemas.openxmlformats.org/officeDocument/2006/relationships/hyperlink" Target="http://www.sec.gov/Archives/edgar/data/1832483/000121390024035546/ea0204541-8k_server.htm" TargetMode="External"/><Relationship Id="rId37" Type="http://schemas.openxmlformats.org/officeDocument/2006/relationships/hyperlink" Target="http://www.sec.gov/Archives/edgar/data/1832483/000121390024043177/ea0206093-8k_server.htm" TargetMode="External"/><Relationship Id="rId38" Type="http://schemas.openxmlformats.org/officeDocument/2006/relationships/hyperlink" Target="http://www.sec.gov/Archives/edgar/data/1832483/000121390024048792/ea0207183-8k_serve.htm" TargetMode="External"/><Relationship Id="rId39" Type="http://schemas.openxmlformats.org/officeDocument/2006/relationships/hyperlink" Target="http://www.sec.gov/Archives/edgar/data/1832483/000121390024063643/ea0209876-8k_serve.htm" TargetMode="External"/><Relationship Id="rId40" Type="http://schemas.openxmlformats.org/officeDocument/2006/relationships/hyperlink" Target="http://www.sec.gov/Archives/edgar/data/1832483/000101376224000753/ea0209955-8k_serve.htm" TargetMode="External"/><Relationship Id="rId41" Type="http://schemas.openxmlformats.org/officeDocument/2006/relationships/hyperlink" Target="http://www.sec.gov/Archives/edgar/data/1832483/000183248324000014/serv-20240813.htm" TargetMode="External"/><Relationship Id="rId42" Type="http://schemas.openxmlformats.org/officeDocument/2006/relationships/hyperlink" Target="http://www.sec.gov/Archives/edgar/data/1832483/000121390024073390/ea0212636-8k_serve.htm" TargetMode="External"/><Relationship Id="rId43" Type="http://schemas.openxmlformats.org/officeDocument/2006/relationships/hyperlink" Target="http://www.sec.gov/Archives/edgar/data/1832483/000121390021021064/ea139136-1012ga1_patriciaacq.htm" TargetMode="External"/><Relationship Id="rId44" Type="http://schemas.openxmlformats.org/officeDocument/2006/relationships/hyperlink" Target="https://www.sec.gov/Archives/edgar/data/1832483/000121390024018566/ea0200355ex4-8_serverobot.htm" TargetMode="External"/><Relationship Id="rId45" Type="http://schemas.openxmlformats.org/officeDocument/2006/relationships/image" Target="media/image1.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26745</Words>
  <Characters>140410</Characters>
  <CharactersWithSpaces>166977</CharactersWithSpaces>
  <Paragraphs>1528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