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818603.xml.htm"/>
      <w:bookmarkStart w:id="1" w:name="kswkform4_17818186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Sarafan Lily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SERVE ROBOTICS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1360 BAYPORT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CARLOS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Serve Robotics Inc.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SERV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78,402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underlying a restricted stock unit award ("RSU"). The RSU will vest in full on the earlier to occur of (i) the Issuer's next annual shareholder meeting or (ii) June 17,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Jongmin Char, as attorney-in-fact for Lily Sarafan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6341" TargetMode="External"/><Relationship Id="rId5" Type="http://schemas.openxmlformats.org/officeDocument/2006/relationships/hyperlink" Target="http://www.sec.gov/cgi-bin/browse-edgar?action=getcompany&amp;CIK=00018324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603</Words>
  <Characters>3247</Characters>
  <CharactersWithSpaces>3790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