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001-42023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85-3844872</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6"/>
        </w:trPr>
        <w:tc>
          <w:tcPr>
            <w:tcW w:w="444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730 Broadway</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Redwood City, CA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(818) 860-1352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SERV</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On January 27, 2026, Serve Robotics Inc. (the “Company”) completed the previously announced acquisition of Diligent Robotics, Inc. (“Diligent”), a Delaware corporation. Pursuant to the Agreement and Plan of Merger, dated as of January 19, 2026 (the “Merger Agreement” and the transactions contemplated thereby, the “Transaction”), by and among the Company, Delight Merger Sub, Inc., a Delaware corporation and direct wholly owned subsidiary of the Company (“Merger Sub”), Diligent and Andrea Thomaz, an individual, solely in her capacity as the representative of the Indemnifying Securityholders, Merger Sub merged with and into Diligent, with Diligent continuing as the surviving corporation and wholly owned subsidiary of the Company. Capitalized terms used but not otherwise defined herein have the meanings set forth in the Merger Agreement.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terms of the Merger Agreement, the aggregate consideration payable by the Company to the stockholders of Diligent (the “Diligent Stockholders”) at the closing (the “Closing”) of the Transaction consisted of (1) a number of the Company’s common stock, par value $0.0001 per share (“Common Stock”) with an aggregate value of $29.0 million, subject to a net debt adjustment, networking capital adjustment and such other adjustments as set forth in the Merger Agreement (which amount includes potential earnout amount of $5.3 million which may be earned upon the achievement of certain milestones set forth in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Closing, (i) each outstanding share of Diligent common stock (other than any Dissenting Shares) was automatically cancelled for no consideration;</w:t>
      </w:r>
    </w:p>
    <w:p>
      <w:pPr>
        <w:spacing w:after="0" w:line="27" w:lineRule="exact"/>
        <w:rPr>
          <w:sz w:val="20"/>
          <w:szCs w:val="20"/>
          <w:color w:val="auto"/>
        </w:rPr>
      </w:pPr>
    </w:p>
    <w:p>
      <w:pPr>
        <w:ind w:right="100" w:firstLine="8"/>
        <w:spacing w:after="0" w:line="251"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Diligent preferred stock (other than Dissenting Shares) was automatically cancelled and converted into the right to receive a number of shares of Common Stock, consisting of (A) such holder’s per share preferred stock consideration as set forth in the Merger Agreement, (B) the right to receive such holder’s pro rata percentage of any shares of Common Stock released from escrow, and (C) the right to receive such holder’s pro rata percentage of any earnout consideration issued upon achievement of specified earnout milestones, in each case as provided in the Merger Agreement and subject to any applicable withholding taxes; (iii) each New Restricted Stock Unit held by a Continuing Employee that is unexpired and outstanding immediately prior to the Effective Time was assumed and converted by the Company into a Company RSU covering the same number of shares of Common Stock (pursuant to a 1:1 exchange ratio), with substantially identical terms and conditions as applied to the corresponding Diligent RSU immediately prior to the Effective Time, except as modified by the Merger Agreement; and (iv) all Diligent Options and Diligent Warrants were automatically cancelled for no consideration.</w:t>
      </w:r>
    </w:p>
    <w:p>
      <w:pPr>
        <w:spacing w:after="0" w:line="19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Closing, the Company issued 32,835 shares of Common Stock to the stockholders of Diligent (calculated using $14.3794 per share, which was the volume-weighted average price for shares of Common Stock for the 10 trading day period ending on the trading day immediately preceding the date of the signing of the Merger Agreement), which was the number of shares of Common Stock issuable following a net debt adjustment (as described below), net working capital adjustment and such other adjustments as set forth in the Merger Agreement. In addition, up to 366,332 shares of Common Stock may be issued in the future as earnout consideration, contingent upon the achievement of certain earnout milestones as set forth in the Merger Agreement. In accordance with the terms of the Merger Agreement, the Company also paid Diligent approximately $19.0 million in cash for the debt adjustment, which reduced the aggregate stock consideration payable to Diligent Stockholders on a dollar-for-dollar basis. The Company also assumed 1,319,151 New Restricted Stock Units held by Continuing Employees.</w:t>
      </w:r>
    </w:p>
    <w:p>
      <w:pPr>
        <w:spacing w:after="0" w:line="19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shares of Common Stock issued as consideration in the Transaction were offered and sold in private placements that are exempt from registration under Section 4(a)(2) of the Securities Act of 1933, as amended (the “Securities Act”).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ind w:right="20"/>
        <w:spacing w:after="0" w:line="253" w:lineRule="auto"/>
        <w:rPr>
          <w:sz w:val="20"/>
          <w:szCs w:val="20"/>
          <w:color w:val="auto"/>
        </w:rPr>
      </w:pPr>
      <w:r>
        <w:rPr>
          <w:rFonts w:ascii="Times New Roman" w:cs="Times New Roman" w:eastAsia="Times New Roman" w:hAnsi="Times New Roman"/>
          <w:sz w:val="18"/>
          <w:szCs w:val="18"/>
          <w:color w:val="auto"/>
        </w:rPr>
        <w:t>The foregoing description of the Merger and the Merger Agreement does not purport to be complete and is qualified in its entirety by reference to the Merger Agreement, a copy of which is filed as Exhibit 2.1 to the Current Report on Form 8-K filed by the Company with the Securities and Exchange Commission (the “SEC”) on January 21, 2026 and which is incorporated into this Current Report on Form 8-K (this “Report”) by reference in its entirety. The Merger Agreement has been filed to provide investors and security holders with information regarding its terms. The Merger Agreement is not intended to provide any other factual or financial information about the Company, Diligent or their respective subsidiaries and affiliates. The representations, warranties and covenants contained in the Merger Agreement were made only for purposes of that Merger Agreement and as of specific dates; were solely for the benefit of the parties to the Merger Agreement; may be subject to limitations agreed upon by the parties, including being qualified by confidential disclosures, and may have been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should not rely on the representations, warranties and covenants, or any descriptions thereof, as characterizations of the actual state of facts or condition of the Company, Diligent or any of their respective subsidiaries or affiliates. Moreover, information concerning the subject matter of the representations, warranties and covenants may change after the date of the Merger Agreement, which subsequent information may or may not be fully reflected in public disclosures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 Company intends such forward-looking statements to be covered by the safe harbor provisions for forward-looking statements contained in Section 27A of the Securities Act and Section 21E of the Securities Exchange Act of 1934, as amended. All statements in this Report that do not relate to matters of historical fact should be considered forward-looking statements. The words “believe,” “may,” “will,” “estimate,” “potential,” “continue,” “anticipate,” “intend,” “expect,” “could,” “contemplates,” “would,” “project,” “plan,” “target,” and similar expressions are intended to identify forward-looking statements, though not all forward-looking statements use these words or expressions. These statements are subject to known or unknown risks and uncertainties that could cause actual results to differ materially from those expressed or implied in such statements such as those described under the heading “Risk Factors” in the Company’s filings with the SEC, including the Company’s most recent Annual Report on Form 10-K. All forward-looking statements are based on management’s current estimates, projections, and assumptions, and the Company undertakes no obligation to correct or update any such statements, whether as a result of new information, future developments, or otherwise, except to the extent required by applicable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 of Business Acquired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will be filed no later than 71 calendar days after the date by which this Report is required to be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financial statements will be filed no later than 71 calendar days after the date by which this Report is required to be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Agreement and Plan of Merger by and among Serve Robotics Inc., Delight Merger Sub, Inc., Diligent Robotics, Inc., Inc. and Andrea</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768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Thomaz, dated January 19, 2026* (incorporated by reference to Exhibit 2.1 to the Company’s Current Report on Form 8-K filed with the</w:t>
              </w:r>
            </w:hyperlink>
          </w:p>
        </w:tc>
        <w:tc>
          <w:tcPr>
            <w:tcW w:w="240" w:type="dxa"/>
            <w:vAlign w:val="bottom"/>
            <w:tcBorders>
              <w:bottom w:val="single" w:sz="8" w:color="CCEEFF"/>
            </w:tcBorders>
            <w:shd w:val="clear" w:color="auto" w:fill="CCEEFF"/>
          </w:tcPr>
          <w:p>
            <w:pPr>
              <w:spacing w:after="0"/>
              <w:rPr>
                <w:sz w:val="17"/>
                <w:szCs w:val="17"/>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SEC on January 21, 2026).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7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179" w:lineRule="exact"/>
        <w:rPr>
          <w:sz w:val="20"/>
          <w:szCs w:val="20"/>
          <w:color w:val="auto"/>
        </w:rPr>
      </w:pPr>
    </w:p>
    <w:p>
      <w:pPr>
        <w:ind w:left="340" w:right="3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601(b)(2) of Regulation S-K. The Company hereby undertakes to furnish supplemental copies of any of the omitted schedules and exhibits to the SEC upon its request.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SERVE ROBOTICS INC.</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January 29, 2026</w:t>
      </w:r>
      <w:r>
        <w:rPr>
          <w:sz w:val="20"/>
          <w:szCs w:val="20"/>
          <w:color w:val="auto"/>
        </w:rPr>
        <w:tab/>
      </w:r>
      <w:r>
        <w:rPr>
          <w:rFonts w:ascii="Times New Roman" w:cs="Times New Roman" w:eastAsia="Times New Roman" w:hAnsi="Times New Roman"/>
          <w:sz w:val="17"/>
          <w:szCs w:val="17"/>
          <w:color w:val="auto"/>
        </w:rPr>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Brian Read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333"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9" Type="http://schemas.openxmlformats.org/officeDocument/2006/relationships/hyperlink" Target="https://www.sec.gov/Archives/edgar/data/1832483/000121390026005920/ea027345401ex2-1_ser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2026-01-29T16:12:32Z</dcterms:created>
  <dcterms:modified xsi:type="dcterms:W3CDTF">2026-01-29T16:12:32Z</dcterms:modified>
</cp:coreProperties>
</file>