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Vincent Olivier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SERVE ROBOTICS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Serve Robotics Inc. /DE/</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SERV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04/18/2024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04/18/2024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04/18/2034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will vest in full on the one-year anniversary of the grant, subject to the Reporting Person's continued service as a member of the Board of Directors of the Issuer (the "Board") through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Olivier Vincent</w:t>
            </w:r>
          </w:p>
        </w:tc>
        <w:tc>
          <w:tcPr>
            <w:tcW w:w="9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03/10/2025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24" w:lineRule="exact"/>
        <w:rPr>
          <w:sz w:val="20"/>
          <w:szCs w:val="20"/>
          <w:color w:val="auto"/>
        </w:rPr>
      </w:pPr>
    </w:p>
    <w:p>
      <w:pPr>
        <w:ind w:right="20" w:firstLine="732"/>
        <w:spacing w:after="0" w:line="269" w:lineRule="auto"/>
        <w:rPr>
          <w:sz w:val="20"/>
          <w:szCs w:val="20"/>
          <w:color w:val="auto"/>
        </w:rPr>
      </w:pPr>
      <w:r>
        <w:rPr>
          <w:rFonts w:ascii="Times New Roman" w:cs="Times New Roman" w:eastAsia="Times New Roman" w:hAnsi="Times New Roman"/>
          <w:sz w:val="19"/>
          <w:szCs w:val="19"/>
          <w:color w:val="auto"/>
        </w:rPr>
        <w:t>The undersigned as a Section 16 reporting person of Serve Robotics Inc. (the “Company”), hereby constitutes and appoints Evan Dunn, Ali Kashani and Touraj Parang, and each of them, the undersigned’s true and lawful attorney-in-fact to:</w:t>
      </w:r>
    </w:p>
    <w:p>
      <w:pPr>
        <w:spacing w:after="0" w:line="374" w:lineRule="exact"/>
        <w:rPr>
          <w:sz w:val="20"/>
          <w:szCs w:val="20"/>
          <w:color w:val="auto"/>
        </w:rPr>
      </w:pPr>
    </w:p>
    <w:p>
      <w:pPr>
        <w:ind w:right="340" w:firstLine="3"/>
        <w:spacing w:after="0" w:line="269" w:lineRule="auto"/>
        <w:tabs>
          <w:tab w:leader="none" w:pos="26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deliver and file for and on behalf of the undersigned, in the undersigned’s capacity as an officer and/or director of the Company, Forms 3, 4 and 5 in accordance with Section 16(a) of the Exchange Act;</w:t>
      </w:r>
    </w:p>
    <w:p>
      <w:pPr>
        <w:spacing w:after="0" w:line="167" w:lineRule="exact"/>
        <w:rPr>
          <w:rFonts w:ascii="Times New Roman" w:cs="Times New Roman" w:eastAsia="Times New Roman" w:hAnsi="Times New Roman"/>
          <w:sz w:val="19"/>
          <w:szCs w:val="19"/>
          <w:color w:val="auto"/>
        </w:rPr>
      </w:pPr>
    </w:p>
    <w:p>
      <w:pPr>
        <w:ind w:right="20" w:firstLine="3"/>
        <w:spacing w:after="0" w:line="255" w:lineRule="auto"/>
        <w:tabs>
          <w:tab w:leader="none" w:pos="26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180" w:lineRule="exact"/>
        <w:rPr>
          <w:rFonts w:ascii="Times New Roman" w:cs="Times New Roman" w:eastAsia="Times New Roman" w:hAnsi="Times New Roman"/>
          <w:sz w:val="19"/>
          <w:szCs w:val="19"/>
          <w:color w:val="auto"/>
        </w:rPr>
      </w:pPr>
    </w:p>
    <w:p>
      <w:pPr>
        <w:ind w:right="120" w:firstLine="3"/>
        <w:spacing w:after="0" w:line="255" w:lineRule="auto"/>
        <w:tabs>
          <w:tab w:leader="none" w:pos="26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80" w:lineRule="exact"/>
        <w:rPr>
          <w:rFonts w:ascii="Times New Roman" w:cs="Times New Roman" w:eastAsia="Times New Roman" w:hAnsi="Times New Roman"/>
          <w:sz w:val="19"/>
          <w:szCs w:val="19"/>
          <w:color w:val="auto"/>
        </w:rPr>
      </w:pPr>
    </w:p>
    <w:p>
      <w:pPr>
        <w:ind w:right="240" w:firstLine="3"/>
        <w:spacing w:after="0" w:line="250" w:lineRule="auto"/>
        <w:tabs>
          <w:tab w:leader="none" w:pos="26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jc w:val="both"/>
        <w:ind w:firstLine="732"/>
        <w:spacing w:after="0" w:line="243"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attorneys-in-fact and the Company are relying on written and oral information provided by the undersigned to complete such forms and the undersigned is responsible for reviewing the completed forms prior to their filing. The attorneys-in-fact and the Company are not responsible for any errors or omissions in such filings. The attorneys-in-fact and the Company are not responsible for determining whether or not the transactions reported could be matched with any other transactions for the purpose of determining liability for short-swing profits under Section 16(b).</w:t>
      </w:r>
    </w:p>
    <w:p>
      <w:pPr>
        <w:spacing w:after="0" w:line="197" w:lineRule="exact"/>
        <w:rPr>
          <w:sz w:val="20"/>
          <w:szCs w:val="20"/>
          <w:color w:val="auto"/>
        </w:rPr>
      </w:pPr>
    </w:p>
    <w:p>
      <w:pPr>
        <w:jc w:val="both"/>
        <w:ind w:firstLine="732"/>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March 10, 2025.</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 /s/ Olivier Vincent</w:t>
      </w:r>
    </w:p>
    <w:p>
      <w:pPr>
        <w:spacing w:after="0" w:line="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Name: Olivier Vincent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447040</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80"/>
      </w:cols>
      <w:pgMar w:left="460" w:top="74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3424" TargetMode="External"/><Relationship Id="rId14" Type="http://schemas.openxmlformats.org/officeDocument/2006/relationships/hyperlink" Target="http://www.sec.gov/cgi-bin/browse-edgar?action=getcompany&amp;CIK=00018324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2025-03-10T16:26:44Z</dcterms:created>
  <dcterms:modified xsi:type="dcterms:W3CDTF">2025-03-10T16:26:44Z</dcterms:modified>
</cp:coreProperties>
</file>