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8"/>
          <w:szCs w:val="8"/>
          <w:b w:val="1"/>
          <w:bCs w:val="1"/>
          <w:color w:val="auto"/>
        </w:rPr>
        <w:t>ORM</w:t>
      </w:r>
      <w:r>
        <w:rPr>
          <w:rFonts w:ascii="Times New Roman" w:cs="Times New Roman" w:eastAsia="Times New Roman" w:hAnsi="Times New Roman"/>
          <w:sz w:val="14"/>
          <w:szCs w:val="14"/>
          <w:b w:val="1"/>
          <w:bCs w:val="1"/>
          <w:color w:val="auto"/>
        </w:rPr>
        <w:t xml:space="preserve"> 10-K</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(Mark One)</w:t>
      </w:r>
    </w:p>
    <w:p>
      <w:pPr>
        <w:spacing w:after="0" w:line="2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7"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4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 to __________</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220" w:type="dxa"/>
            <w:vAlign w:val="bottom"/>
            <w:gridSpan w:val="7"/>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COMMISSION FILE NUMBER 001-42023</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5"/>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SERVE ROBOTICS INC.</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500" w:type="dxa"/>
            <w:vAlign w:val="bottom"/>
            <w:gridSpan w:val="8"/>
          </w:tcPr>
          <w:p>
            <w:pPr>
              <w:jc w:val="center"/>
              <w:ind w:left="370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389"/>
              <w:spacing w:after="0"/>
              <w:rPr>
                <w:sz w:val="20"/>
                <w:szCs w:val="20"/>
                <w:color w:val="auto"/>
              </w:rPr>
            </w:pPr>
            <w:r>
              <w:rPr>
                <w:rFonts w:ascii="Times New Roman" w:cs="Times New Roman" w:eastAsia="Times New Roman" w:hAnsi="Times New Roman"/>
                <w:sz w:val="14"/>
                <w:szCs w:val="14"/>
                <w:b w:val="1"/>
                <w:bCs w:val="1"/>
                <w:color w:val="auto"/>
              </w:rPr>
              <w:t>85-3844872</w:t>
            </w:r>
          </w:p>
        </w:tc>
        <w:tc>
          <w:tcPr>
            <w:tcW w:w="0" w:type="dxa"/>
            <w:vAlign w:val="bottom"/>
          </w:tcPr>
          <w:p>
            <w:pPr>
              <w:spacing w:after="0"/>
              <w:rPr>
                <w:sz w:val="1"/>
                <w:szCs w:val="1"/>
                <w:color w:val="auto"/>
              </w:rPr>
            </w:pPr>
          </w:p>
        </w:tc>
      </w:tr>
      <w:tr>
        <w:trPr>
          <w:trHeight w:val="138"/>
        </w:trPr>
        <w:tc>
          <w:tcPr>
            <w:tcW w:w="4280" w:type="dxa"/>
            <w:vAlign w:val="bottom"/>
          </w:tcPr>
          <w:p>
            <w:pPr>
              <w:jc w:val="center"/>
              <w:ind w:left="1209"/>
              <w:spacing w:after="0" w:line="138"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tcPr>
          <w:p>
            <w:pPr>
              <w:jc w:val="center"/>
              <w:ind w:right="1789"/>
              <w:spacing w:after="0" w:line="138"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4"/>
        </w:trPr>
        <w:tc>
          <w:tcPr>
            <w:tcW w:w="4280" w:type="dxa"/>
            <w:vAlign w:val="bottom"/>
          </w:tcPr>
          <w:p>
            <w:pPr>
              <w:jc w:val="center"/>
              <w:ind w:left="12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80" w:type="dxa"/>
            <w:vAlign w:val="bottom"/>
          </w:tcPr>
          <w:p>
            <w:pPr>
              <w:jc w:val="center"/>
              <w:ind w:right="1709"/>
              <w:spacing w:after="0"/>
              <w:rPr>
                <w:sz w:val="20"/>
                <w:szCs w:val="20"/>
                <w:color w:val="auto"/>
              </w:rPr>
            </w:pPr>
            <w:r>
              <w:rPr>
                <w:rFonts w:ascii="Times New Roman" w:cs="Times New Roman" w:eastAsia="Times New Roman" w:hAnsi="Times New Roman"/>
                <w:sz w:val="14"/>
                <w:szCs w:val="14"/>
                <w:color w:val="auto"/>
                <w:w w:val="99"/>
              </w:rPr>
              <w:t>Identification No.)</w:t>
            </w:r>
          </w:p>
        </w:tc>
        <w:tc>
          <w:tcPr>
            <w:tcW w:w="0" w:type="dxa"/>
            <w:vAlign w:val="bottom"/>
          </w:tcPr>
          <w:p>
            <w:pPr>
              <w:spacing w:after="0"/>
              <w:rPr>
                <w:sz w:val="1"/>
                <w:szCs w:val="1"/>
                <w:color w:val="auto"/>
              </w:rPr>
            </w:pPr>
          </w:p>
        </w:tc>
      </w:tr>
      <w:tr>
        <w:trPr>
          <w:trHeight w:val="357"/>
        </w:trPr>
        <w:tc>
          <w:tcPr>
            <w:tcW w:w="428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rPr>
              <w:t>730 Broadway</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80" w:type="dxa"/>
            <w:vAlign w:val="bottom"/>
            <w:vMerge w:val="restart"/>
          </w:tcPr>
          <w:p>
            <w:pPr>
              <w:jc w:val="right"/>
              <w:ind w:right="2289"/>
              <w:spacing w:after="0"/>
              <w:rPr>
                <w:sz w:val="20"/>
                <w:szCs w:val="20"/>
                <w:color w:val="auto"/>
              </w:rPr>
            </w:pPr>
            <w:r>
              <w:rPr>
                <w:rFonts w:ascii="Times New Roman" w:cs="Times New Roman" w:eastAsia="Times New Roman" w:hAnsi="Times New Roman"/>
                <w:sz w:val="14"/>
                <w:szCs w:val="14"/>
                <w:b w:val="1"/>
                <w:bCs w:val="1"/>
                <w:color w:val="auto"/>
              </w:rPr>
              <w:t>(818) 860-1352</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jc w:val="center"/>
              <w:ind w:left="1289"/>
              <w:spacing w:after="0"/>
              <w:rPr>
                <w:sz w:val="20"/>
                <w:szCs w:val="20"/>
                <w:color w:val="auto"/>
              </w:rPr>
            </w:pPr>
            <w:r>
              <w:rPr>
                <w:rFonts w:ascii="Times New Roman" w:cs="Times New Roman" w:eastAsia="Times New Roman" w:hAnsi="Times New Roman"/>
                <w:sz w:val="14"/>
                <w:szCs w:val="14"/>
                <w:b w:val="1"/>
                <w:bCs w:val="1"/>
                <w:color w:val="auto"/>
              </w:rPr>
              <w:t>Redwood City, CA 94063</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8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60" w:type="dxa"/>
            <w:vAlign w:val="bottom"/>
            <w:gridSpan w:val="2"/>
          </w:tcPr>
          <w:p>
            <w:pPr>
              <w:jc w:val="center"/>
              <w:ind w:right="106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393"/>
        </w:trPr>
        <w:tc>
          <w:tcPr>
            <w:tcW w:w="7500" w:type="dxa"/>
            <w:vAlign w:val="bottom"/>
            <w:gridSpan w:val="8"/>
          </w:tcPr>
          <w:p>
            <w:pPr>
              <w:jc w:val="center"/>
              <w:ind w:left="372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28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center"/>
              <w:ind w:right="6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60" w:type="dxa"/>
            <w:vAlign w:val="bottom"/>
            <w:gridSpan w:val="5"/>
            <w:shd w:val="clear" w:color="auto" w:fill="CCEEFF"/>
          </w:tcPr>
          <w:p>
            <w:pPr>
              <w:jc w:val="center"/>
              <w:ind w:right="689"/>
              <w:spacing w:after="0"/>
              <w:rPr>
                <w:sz w:val="20"/>
                <w:szCs w:val="20"/>
                <w:color w:val="auto"/>
              </w:rPr>
            </w:pPr>
            <w:r>
              <w:rPr>
                <w:rFonts w:ascii="Times New Roman" w:cs="Times New Roman" w:eastAsia="Times New Roman" w:hAnsi="Times New Roman"/>
                <w:sz w:val="14"/>
                <w:szCs w:val="14"/>
                <w:color w:val="auto"/>
              </w:rPr>
              <w:t>SERV</w:t>
            </w:r>
          </w:p>
        </w:tc>
        <w:tc>
          <w:tcPr>
            <w:tcW w:w="3780" w:type="dxa"/>
            <w:vAlign w:val="bottom"/>
            <w:shd w:val="clear" w:color="auto" w:fill="CCEEFF"/>
          </w:tcPr>
          <w:p>
            <w:pPr>
              <w:jc w:val="center"/>
              <w:ind w:right="609"/>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p>
      <w:pPr>
        <w:spacing w:after="0" w:line="143" w:lineRule="exact"/>
        <w:rPr>
          <w:sz w:val="24"/>
          <w:szCs w:val="24"/>
          <w:color w:val="auto"/>
        </w:rPr>
      </w:pPr>
    </w:p>
    <w:p>
      <w:pPr>
        <w:ind w:right="3840"/>
        <w:spacing w:after="0" w:line="458"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03"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2"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84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Accelerated filer</w:t>
            </w:r>
          </w:p>
        </w:tc>
        <w:tc>
          <w:tcPr>
            <w:tcW w:w="1880" w:type="dxa"/>
            <w:vAlign w:val="bottom"/>
          </w:tcPr>
          <w:p>
            <w:pPr>
              <w:ind w:left="1740"/>
              <w:spacing w:after="0"/>
              <w:rPr>
                <w:sz w:val="20"/>
                <w:szCs w:val="20"/>
                <w:color w:val="auto"/>
              </w:rPr>
            </w:pPr>
            <w:r>
              <w:rPr>
                <w:rFonts w:ascii="Wingdings" w:cs="Wingdings" w:eastAsia="Wingdings" w:hAnsi="Wingdings"/>
                <w:sz w:val="14"/>
                <w:szCs w:val="14"/>
                <w:b w:val="1"/>
                <w:bCs w:val="1"/>
                <w:color w:val="auto"/>
                <w:w w:val="95"/>
              </w:rPr>
              <w:t>o</w:t>
            </w:r>
          </w:p>
        </w:tc>
      </w:tr>
      <w:tr>
        <w:trPr>
          <w:trHeight w:val="20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84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80" w:type="dxa"/>
            <w:vAlign w:val="bottom"/>
          </w:tcPr>
          <w:p>
            <w:pPr>
              <w:ind w:left="1740"/>
              <w:spacing w:after="0"/>
              <w:rPr>
                <w:sz w:val="20"/>
                <w:szCs w:val="20"/>
                <w:color w:val="auto"/>
              </w:rPr>
            </w:pPr>
            <w:r>
              <w:rPr>
                <w:rFonts w:ascii="Wingdings" w:cs="Wingdings" w:eastAsia="Wingdings" w:hAnsi="Wingdings"/>
                <w:sz w:val="14"/>
                <w:szCs w:val="14"/>
                <w:b w:val="1"/>
                <w:bCs w:val="1"/>
                <w:color w:val="auto"/>
                <w:w w:val="80"/>
              </w:rPr>
              <w:t>x</w:t>
            </w:r>
          </w:p>
        </w:tc>
      </w:tr>
      <w:tr>
        <w:trPr>
          <w:trHeight w:val="202"/>
        </w:trPr>
        <w:tc>
          <w:tcPr>
            <w:tcW w:w="31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80" w:type="dxa"/>
            <w:vAlign w:val="bottom"/>
          </w:tcPr>
          <w:p>
            <w:pPr>
              <w:ind w:left="174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20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03"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92"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92"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4"/>
          <w:szCs w:val="14"/>
          <w:b w:val="1"/>
          <w:bCs w:val="1"/>
          <w:color w:val="auto"/>
        </w:rPr>
        <w:t>o</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47"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on June 30, 2024, the last business day of its most recently completed second fiscal quarter, was $65.3 million based on the closing price of the registrant’s common stock as reported by The Nasdaq Capital Market on that date.</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4, 2025, the registrant had a total of 56,918,226 shares of its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gridSpan w:val="13"/>
          </w:tcPr>
          <w:p>
            <w:pPr>
              <w:jc w:val="center"/>
              <w:ind w:right="36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20" w:type="dxa"/>
            <w:vAlign w:val="bottom"/>
          </w:tcPr>
          <w:p>
            <w:pPr>
              <w:spacing w:after="0"/>
              <w:rPr>
                <w:sz w:val="16"/>
                <w:szCs w:val="16"/>
                <w:color w:val="auto"/>
              </w:rPr>
            </w:pPr>
          </w:p>
        </w:tc>
      </w:tr>
      <w:tr>
        <w:trPr>
          <w:trHeight w:val="341"/>
        </w:trPr>
        <w:tc>
          <w:tcPr>
            <w:tcW w:w="12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0"/>
        </w:trPr>
        <w:tc>
          <w:tcPr>
            <w:tcW w:w="1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20" w:type="dxa"/>
            <w:vAlign w:val="bottom"/>
            <w:gridSpan w:val="9"/>
            <w:shd w:val="clear" w:color="auto" w:fill="CCEEFF"/>
          </w:tcPr>
          <w:p>
            <w:pPr>
              <w:jc w:val="center"/>
              <w:ind w:right="4400"/>
              <w:spacing w:after="0" w:line="138" w:lineRule="exact"/>
              <w:rPr>
                <w:sz w:val="20"/>
                <w:szCs w:val="20"/>
                <w:color w:val="auto"/>
              </w:rPr>
            </w:pPr>
            <w:r>
              <w:rPr>
                <w:rFonts w:ascii="Times New Roman" w:cs="Times New Roman" w:eastAsia="Times New Roman" w:hAnsi="Times New Roman"/>
                <w:sz w:val="14"/>
                <w:szCs w:val="14"/>
                <w:color w:val="0000FF"/>
                <w:w w:val="95"/>
              </w:rPr>
              <w:t>PART I</w:t>
            </w:r>
          </w:p>
        </w:tc>
        <w:tc>
          <w:tcPr>
            <w:tcW w:w="1020" w:type="dxa"/>
            <w:vAlign w:val="bottom"/>
            <w:shd w:val="clear" w:color="auto" w:fill="CCEEFF"/>
          </w:tcPr>
          <w:p>
            <w:pPr>
              <w:spacing w:after="0"/>
              <w:rPr>
                <w:sz w:val="13"/>
                <w:szCs w:val="13"/>
                <w:color w:val="auto"/>
              </w:rPr>
            </w:pP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49"/>
        </w:trPr>
        <w:tc>
          <w:tcPr>
            <w:tcW w:w="1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000" w:type="dxa"/>
            <w:vAlign w:val="bottom"/>
            <w:gridSpan w:val="2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Business</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r>
      <w:tr>
        <w:trPr>
          <w:trHeight w:val="32"/>
        </w:trPr>
        <w:tc>
          <w:tcPr>
            <w:tcW w:w="126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9"/>
              </w:rPr>
              <w:t>Risk Factors</w:t>
            </w:r>
          </w:p>
        </w:tc>
        <w:tc>
          <w:tcPr>
            <w:tcW w:w="8280" w:type="dxa"/>
            <w:vAlign w:val="bottom"/>
            <w:gridSpan w:val="25"/>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1B.</w:t>
            </w:r>
          </w:p>
        </w:tc>
        <w:tc>
          <w:tcPr>
            <w:tcW w:w="9000" w:type="dxa"/>
            <w:vAlign w:val="bottom"/>
            <w:gridSpan w:val="2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Unresolved Staff Comments</w:t>
            </w: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30</w:t>
            </w:r>
          </w:p>
        </w:tc>
      </w:tr>
      <w:tr>
        <w:trPr>
          <w:trHeight w:val="154"/>
        </w:trPr>
        <w:tc>
          <w:tcPr>
            <w:tcW w:w="126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1C.</w:t>
            </w:r>
          </w:p>
        </w:tc>
        <w:tc>
          <w:tcPr>
            <w:tcW w:w="800" w:type="dxa"/>
            <w:vAlign w:val="bottom"/>
            <w:tcBorders>
              <w:top w:val="single" w:sz="8" w:color="0000FF"/>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w w:val="99"/>
              </w:rPr>
              <w:t>Cybersecurity</w:t>
            </w:r>
          </w:p>
        </w:tc>
        <w:tc>
          <w:tcPr>
            <w:tcW w:w="800" w:type="dxa"/>
            <w:vAlign w:val="bottom"/>
            <w:tcBorders>
              <w:top w:val="single" w:sz="8" w:color="0000FF"/>
            </w:tcBorders>
            <w:gridSpan w:val="5"/>
          </w:tcPr>
          <w:p>
            <w:pPr>
              <w:spacing w:after="0"/>
              <w:rPr>
                <w:sz w:val="13"/>
                <w:szCs w:val="13"/>
                <w:color w:val="auto"/>
              </w:rPr>
            </w:pPr>
          </w:p>
        </w:tc>
        <w:tc>
          <w:tcPr>
            <w:tcW w:w="7400" w:type="dxa"/>
            <w:vAlign w:val="bottom"/>
            <w:tcBorders>
              <w:top w:val="single" w:sz="8" w:color="CCEEFF"/>
            </w:tcBorders>
            <w:gridSpan w:val="18"/>
          </w:tcPr>
          <w:p>
            <w:pPr>
              <w:spacing w:after="0"/>
              <w:rPr>
                <w:sz w:val="13"/>
                <w:szCs w:val="13"/>
                <w:color w:val="auto"/>
              </w:rPr>
            </w:pPr>
          </w:p>
        </w:tc>
        <w:tc>
          <w:tcPr>
            <w:tcW w:w="102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30</w:t>
            </w:r>
          </w:p>
        </w:tc>
      </w:tr>
      <w:tr>
        <w:trPr>
          <w:trHeight w:val="166"/>
        </w:trPr>
        <w:tc>
          <w:tcPr>
            <w:tcW w:w="1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8"/>
              </w:rPr>
              <w:t>Properties</w:t>
            </w:r>
          </w:p>
        </w:tc>
        <w:tc>
          <w:tcPr>
            <w:tcW w:w="8420" w:type="dxa"/>
            <w:vAlign w:val="bottom"/>
            <w:tcBorders>
              <w:bottom w:val="single" w:sz="8" w:color="CCEEFF"/>
            </w:tcBorders>
            <w:gridSpan w:val="27"/>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31</w:t>
            </w:r>
          </w:p>
        </w:tc>
      </w:tr>
      <w:tr>
        <w:trPr>
          <w:trHeight w:val="149"/>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9000" w:type="dxa"/>
            <w:vAlign w:val="bottom"/>
            <w:gridSpan w:val="29"/>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31</w:t>
            </w:r>
          </w:p>
        </w:tc>
      </w:tr>
      <w:tr>
        <w:trPr>
          <w:trHeight w:val="26"/>
        </w:trPr>
        <w:tc>
          <w:tcPr>
            <w:tcW w:w="126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9000" w:type="dxa"/>
            <w:vAlign w:val="bottom"/>
            <w:gridSpan w:val="2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31</w:t>
            </w: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80" w:type="dxa"/>
            <w:vAlign w:val="bottom"/>
            <w:gridSpan w:val="11"/>
            <w:shd w:val="clear" w:color="auto" w:fill="CCEEFF"/>
          </w:tcPr>
          <w:p>
            <w:pPr>
              <w:jc w:val="center"/>
              <w:ind w:right="4360"/>
              <w:spacing w:after="0" w:line="149" w:lineRule="exact"/>
              <w:rPr>
                <w:sz w:val="20"/>
                <w:szCs w:val="20"/>
                <w:color w:val="auto"/>
              </w:rPr>
            </w:pPr>
            <w:r>
              <w:rPr>
                <w:rFonts w:ascii="Times New Roman" w:cs="Times New Roman" w:eastAsia="Times New Roman" w:hAnsi="Times New Roman"/>
                <w:sz w:val="14"/>
                <w:szCs w:val="14"/>
                <w:color w:val="0000FF"/>
                <w:w w:val="98"/>
              </w:rPr>
              <w:t>PART II</w:t>
            </w:r>
          </w:p>
        </w:tc>
        <w:tc>
          <w:tcPr>
            <w:tcW w:w="1020" w:type="dxa"/>
            <w:vAlign w:val="bottom"/>
            <w:shd w:val="clear" w:color="auto" w:fill="CCEEFF"/>
          </w:tcPr>
          <w:p>
            <w:pPr>
              <w:spacing w:after="0"/>
              <w:rPr>
                <w:sz w:val="13"/>
                <w:szCs w:val="13"/>
                <w:color w:val="auto"/>
              </w:rPr>
            </w:pP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9000" w:type="dxa"/>
            <w:vAlign w:val="bottom"/>
            <w:gridSpan w:val="2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32</w:t>
            </w:r>
          </w:p>
        </w:tc>
      </w:tr>
      <w:tr>
        <w:trPr>
          <w:trHeight w:val="149"/>
        </w:trPr>
        <w:tc>
          <w:tcPr>
            <w:tcW w:w="126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6340" w:type="dxa"/>
            <w:vAlign w:val="bottom"/>
            <w:tcBorders>
              <w:top w:val="single" w:sz="8" w:color="0000FF"/>
            </w:tcBorders>
            <w:gridSpan w:val="28"/>
          </w:tcPr>
          <w:p>
            <w:pPr>
              <w:spacing w:after="0" w:line="149" w:lineRule="exact"/>
              <w:rPr>
                <w:sz w:val="20"/>
                <w:szCs w:val="20"/>
                <w:color w:val="auto"/>
              </w:rPr>
            </w:pPr>
            <w:r>
              <w:rPr>
                <w:rFonts w:ascii="Times New Roman" w:cs="Times New Roman" w:eastAsia="Times New Roman" w:hAnsi="Times New Roman"/>
                <w:sz w:val="14"/>
                <w:szCs w:val="14"/>
                <w:color w:val="0000FF"/>
              </w:rPr>
              <w:t>[Reserved]</w:t>
            </w:r>
          </w:p>
        </w:tc>
        <w:tc>
          <w:tcPr>
            <w:tcW w:w="266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33</w:t>
            </w:r>
          </w:p>
        </w:tc>
      </w:tr>
      <w:tr>
        <w:trPr>
          <w:trHeight w:val="26"/>
        </w:trPr>
        <w:tc>
          <w:tcPr>
            <w:tcW w:w="126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6"/>
        </w:trPr>
        <w:tc>
          <w:tcPr>
            <w:tcW w:w="1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7.</w:t>
            </w:r>
          </w:p>
        </w:tc>
        <w:tc>
          <w:tcPr>
            <w:tcW w:w="5020" w:type="dxa"/>
            <w:vAlign w:val="bottom"/>
            <w:tcBorders>
              <w:bottom w:val="single" w:sz="8" w:color="0000FF"/>
            </w:tcBorders>
            <w:gridSpan w:val="2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w:t>
            </w:r>
          </w:p>
        </w:tc>
        <w:tc>
          <w:tcPr>
            <w:tcW w:w="3980" w:type="dxa"/>
            <w:vAlign w:val="bottom"/>
            <w:tcBorders>
              <w:bottom w:val="single" w:sz="8" w:color="CCEEFF"/>
            </w:tcBorders>
            <w:gridSpan w:val="4"/>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34</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7A.</w:t>
            </w:r>
          </w:p>
        </w:tc>
        <w:tc>
          <w:tcPr>
            <w:tcW w:w="9000" w:type="dxa"/>
            <w:vAlign w:val="bottom"/>
            <w:gridSpan w:val="29"/>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43</w:t>
            </w:r>
          </w:p>
        </w:tc>
      </w:tr>
      <w:tr>
        <w:trPr>
          <w:trHeight w:val="166"/>
        </w:trPr>
        <w:tc>
          <w:tcPr>
            <w:tcW w:w="1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8.</w:t>
            </w:r>
          </w:p>
        </w:tc>
        <w:tc>
          <w:tcPr>
            <w:tcW w:w="2620" w:type="dxa"/>
            <w:vAlign w:val="bottom"/>
            <w:tcBorders>
              <w:top w:val="single" w:sz="8" w:color="0000FF"/>
              <w:bottom w:val="single" w:sz="8" w:color="0000FF"/>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76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5620" w:type="dxa"/>
            <w:vAlign w:val="bottom"/>
            <w:tcBorders>
              <w:bottom w:val="single" w:sz="8" w:color="CCEEFF"/>
            </w:tcBorders>
            <w:gridSpan w:val="13"/>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2"/>
              </w:rPr>
              <w:t>F-1</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w:t>
            </w:r>
          </w:p>
        </w:tc>
        <w:tc>
          <w:tcPr>
            <w:tcW w:w="9000" w:type="dxa"/>
            <w:vAlign w:val="bottom"/>
            <w:gridSpan w:val="29"/>
          </w:tcPr>
          <w:p>
            <w:pPr>
              <w:spacing w:after="0" w:line="14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58</w:t>
            </w:r>
          </w:p>
        </w:tc>
      </w:tr>
      <w:tr>
        <w:trPr>
          <w:trHeight w:val="166"/>
        </w:trPr>
        <w:tc>
          <w:tcPr>
            <w:tcW w:w="1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368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3920" w:type="dxa"/>
            <w:vAlign w:val="bottom"/>
            <w:tcBorders>
              <w:bottom w:val="single" w:sz="8" w:color="CCEEFF"/>
            </w:tcBorders>
            <w:gridSpan w:val="3"/>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58</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w w:val="99"/>
              </w:rPr>
              <w:t>Other Information</w:t>
            </w:r>
          </w:p>
        </w:tc>
        <w:tc>
          <w:tcPr>
            <w:tcW w:w="7960" w:type="dxa"/>
            <w:vAlign w:val="bottom"/>
            <w:gridSpan w:val="22"/>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59</w:t>
            </w: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9C.</w:t>
            </w:r>
          </w:p>
        </w:tc>
        <w:tc>
          <w:tcPr>
            <w:tcW w:w="9000" w:type="dxa"/>
            <w:vAlign w:val="bottom"/>
            <w:gridSpan w:val="2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59</w:t>
            </w: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80" w:type="dxa"/>
            <w:vAlign w:val="bottom"/>
            <w:gridSpan w:val="11"/>
            <w:shd w:val="clear" w:color="auto" w:fill="CCEEFF"/>
          </w:tcPr>
          <w:p>
            <w:pPr>
              <w:jc w:val="center"/>
              <w:ind w:right="4360"/>
              <w:spacing w:after="0" w:line="149" w:lineRule="exact"/>
              <w:rPr>
                <w:sz w:val="20"/>
                <w:szCs w:val="20"/>
                <w:color w:val="auto"/>
              </w:rPr>
            </w:pPr>
            <w:r>
              <w:rPr>
                <w:rFonts w:ascii="Times New Roman" w:cs="Times New Roman" w:eastAsia="Times New Roman" w:hAnsi="Times New Roman"/>
                <w:sz w:val="14"/>
                <w:szCs w:val="14"/>
                <w:color w:val="0000FF"/>
                <w:w w:val="97"/>
              </w:rPr>
              <w:t>PART III</w:t>
            </w:r>
          </w:p>
        </w:tc>
        <w:tc>
          <w:tcPr>
            <w:tcW w:w="1020" w:type="dxa"/>
            <w:vAlign w:val="bottom"/>
            <w:shd w:val="clear" w:color="auto" w:fill="CCEEFF"/>
          </w:tcPr>
          <w:p>
            <w:pPr>
              <w:spacing w:after="0"/>
              <w:rPr>
                <w:sz w:val="13"/>
                <w:szCs w:val="13"/>
                <w:color w:val="auto"/>
              </w:rPr>
            </w:pP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3220" w:type="dxa"/>
            <w:vAlign w:val="bottom"/>
            <w:tcBorders>
              <w:bottom w:val="single" w:sz="8" w:color="0000FF"/>
            </w:tcBorders>
            <w:gridSpan w:val="1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780" w:type="dxa"/>
            <w:vAlign w:val="bottom"/>
            <w:tcBorders>
              <w:bottom w:val="single" w:sz="8" w:color="CCEEFF"/>
            </w:tcBorders>
            <w:gridSpan w:val="1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60</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11.</w:t>
            </w:r>
          </w:p>
        </w:tc>
        <w:tc>
          <w:tcPr>
            <w:tcW w:w="142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FF"/>
                <w:w w:val="99"/>
              </w:rPr>
              <w:t>Executive Compensation</w:t>
            </w:r>
          </w:p>
        </w:tc>
        <w:tc>
          <w:tcPr>
            <w:tcW w:w="7580" w:type="dxa"/>
            <w:vAlign w:val="bottom"/>
            <w:gridSpan w:val="19"/>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65</w:t>
            </w: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12.</w:t>
            </w:r>
          </w:p>
        </w:tc>
        <w:tc>
          <w:tcPr>
            <w:tcW w:w="9000" w:type="dxa"/>
            <w:vAlign w:val="bottom"/>
            <w:gridSpan w:val="2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80</w:t>
            </w:r>
          </w:p>
        </w:tc>
      </w:tr>
      <w:tr>
        <w:trPr>
          <w:trHeight w:val="154"/>
        </w:trPr>
        <w:tc>
          <w:tcPr>
            <w:tcW w:w="126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13.</w:t>
            </w:r>
          </w:p>
        </w:tc>
        <w:tc>
          <w:tcPr>
            <w:tcW w:w="5720" w:type="dxa"/>
            <w:vAlign w:val="bottom"/>
            <w:tcBorders>
              <w:top w:val="single" w:sz="8" w:color="0000FF"/>
            </w:tcBorders>
            <w:gridSpan w:val="27"/>
          </w:tcPr>
          <w:p>
            <w:pPr>
              <w:spacing w:after="0" w:line="149"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3280" w:type="dxa"/>
            <w:vAlign w:val="bottom"/>
            <w:tcBorders>
              <w:top w:val="single" w:sz="8" w:color="CCEEFF"/>
            </w:tcBorders>
            <w:gridSpan w:val="2"/>
          </w:tcPr>
          <w:p>
            <w:pPr>
              <w:spacing w:after="0"/>
              <w:rPr>
                <w:sz w:val="13"/>
                <w:szCs w:val="13"/>
                <w:color w:val="auto"/>
              </w:rPr>
            </w:pPr>
          </w:p>
        </w:tc>
        <w:tc>
          <w:tcPr>
            <w:tcW w:w="102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82</w:t>
            </w:r>
          </w:p>
        </w:tc>
      </w:tr>
      <w:tr>
        <w:trPr>
          <w:trHeight w:val="166"/>
        </w:trPr>
        <w:tc>
          <w:tcPr>
            <w:tcW w:w="12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0000FF"/>
            </w:tcBorders>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Principal Accounting Fees and Services</w:t>
            </w:r>
          </w:p>
        </w:tc>
        <w:tc>
          <w:tcPr>
            <w:tcW w:w="4720" w:type="dxa"/>
            <w:vAlign w:val="bottom"/>
            <w:gridSpan w:val="8"/>
            <w:shd w:val="clear" w:color="auto" w:fill="CCEEFF"/>
          </w:tcPr>
          <w:p>
            <w:pPr>
              <w:spacing w:after="0"/>
              <w:rPr>
                <w:sz w:val="14"/>
                <w:szCs w:val="14"/>
                <w:color w:val="auto"/>
              </w:rPr>
            </w:pPr>
          </w:p>
        </w:tc>
        <w:tc>
          <w:tcPr>
            <w:tcW w:w="10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84</w:t>
            </w:r>
          </w:p>
        </w:tc>
      </w:tr>
      <w:tr>
        <w:trPr>
          <w:trHeight w:val="212"/>
        </w:trPr>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60"/>
        </w:trPr>
        <w:tc>
          <w:tcPr>
            <w:tcW w:w="1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80" w:type="dxa"/>
            <w:vAlign w:val="bottom"/>
            <w:gridSpan w:val="11"/>
            <w:shd w:val="clear" w:color="auto" w:fill="CCEEFF"/>
          </w:tcPr>
          <w:p>
            <w:pPr>
              <w:jc w:val="center"/>
              <w:ind w:right="4360"/>
              <w:spacing w:after="0" w:line="149" w:lineRule="exact"/>
              <w:rPr>
                <w:sz w:val="20"/>
                <w:szCs w:val="20"/>
                <w:color w:val="auto"/>
              </w:rPr>
            </w:pPr>
            <w:r>
              <w:rPr>
                <w:rFonts w:ascii="Times New Roman" w:cs="Times New Roman" w:eastAsia="Times New Roman" w:hAnsi="Times New Roman"/>
                <w:sz w:val="14"/>
                <w:szCs w:val="14"/>
                <w:color w:val="0000FF"/>
                <w:w w:val="96"/>
              </w:rPr>
              <w:t>PART IV</w:t>
            </w:r>
          </w:p>
        </w:tc>
        <w:tc>
          <w:tcPr>
            <w:tcW w:w="1020" w:type="dxa"/>
            <w:vAlign w:val="bottom"/>
            <w:shd w:val="clear" w:color="auto" w:fill="CCEEFF"/>
          </w:tcPr>
          <w:p>
            <w:pPr>
              <w:spacing w:after="0"/>
              <w:rPr>
                <w:sz w:val="13"/>
                <w:szCs w:val="13"/>
                <w:color w:val="auto"/>
              </w:rPr>
            </w:pPr>
          </w:p>
        </w:tc>
      </w:tr>
      <w:tr>
        <w:trPr>
          <w:trHeight w:val="180"/>
        </w:trPr>
        <w:tc>
          <w:tcPr>
            <w:tcW w:w="12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60"/>
        </w:trPr>
        <w:tc>
          <w:tcPr>
            <w:tcW w:w="126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15.</w:t>
            </w:r>
          </w:p>
        </w:tc>
        <w:tc>
          <w:tcPr>
            <w:tcW w:w="2280" w:type="dxa"/>
            <w:vAlign w:val="bottom"/>
            <w:tcBorders>
              <w:bottom w:val="single" w:sz="8" w:color="0000FF"/>
            </w:tcBorders>
            <w:gridSpan w:val="1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Exhibits, Financial Statement Schedules</w:t>
            </w:r>
          </w:p>
        </w:tc>
        <w:tc>
          <w:tcPr>
            <w:tcW w:w="6720" w:type="dxa"/>
            <w:vAlign w:val="bottom"/>
            <w:tcBorders>
              <w:bottom w:val="single" w:sz="8" w:color="CCEEFF"/>
            </w:tcBorders>
            <w:gridSpan w:val="1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86</w:t>
            </w:r>
          </w:p>
        </w:tc>
      </w:tr>
      <w:tr>
        <w:trPr>
          <w:trHeight w:val="154"/>
        </w:trPr>
        <w:tc>
          <w:tcPr>
            <w:tcW w:w="12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16.</w:t>
            </w:r>
          </w:p>
        </w:tc>
        <w:tc>
          <w:tcPr>
            <w:tcW w:w="1220" w:type="dxa"/>
            <w:vAlign w:val="bottom"/>
            <w:tcBorders>
              <w:bottom w:val="single" w:sz="8" w:color="0000FF"/>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FF"/>
                <w:w w:val="99"/>
              </w:rPr>
              <w:t>Form 10-K Summary</w:t>
            </w:r>
          </w:p>
        </w:tc>
        <w:tc>
          <w:tcPr>
            <w:tcW w:w="7780" w:type="dxa"/>
            <w:vAlign w:val="bottom"/>
            <w:gridSpan w:val="21"/>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86</w:t>
            </w:r>
          </w:p>
        </w:tc>
      </w:tr>
      <w:tr>
        <w:trPr>
          <w:trHeight w:val="166"/>
        </w:trPr>
        <w:tc>
          <w:tcPr>
            <w:tcW w:w="1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Exhibit Index</w:t>
            </w:r>
          </w:p>
        </w:tc>
        <w:tc>
          <w:tcPr>
            <w:tcW w:w="8220" w:type="dxa"/>
            <w:vAlign w:val="bottom"/>
            <w:tcBorders>
              <w:bottom w:val="single" w:sz="8" w:color="CCEEFF"/>
            </w:tcBorders>
            <w:gridSpan w:val="24"/>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87</w:t>
            </w:r>
          </w:p>
        </w:tc>
      </w:tr>
      <w:tr>
        <w:trPr>
          <w:trHeight w:val="149"/>
        </w:trPr>
        <w:tc>
          <w:tcPr>
            <w:tcW w:w="1260" w:type="dxa"/>
            <w:vAlign w:val="bottom"/>
          </w:tcPr>
          <w:p>
            <w:pPr>
              <w:spacing w:after="0"/>
              <w:rPr>
                <w:sz w:val="12"/>
                <w:szCs w:val="12"/>
                <w:color w:val="auto"/>
              </w:rPr>
            </w:pPr>
          </w:p>
        </w:tc>
        <w:tc>
          <w:tcPr>
            <w:tcW w:w="620" w:type="dxa"/>
            <w:vAlign w:val="bottom"/>
            <w:tcBorders>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FF"/>
                <w:w w:val="98"/>
              </w:rPr>
              <w:t>Signatures</w:t>
            </w:r>
          </w:p>
        </w:tc>
        <w:tc>
          <w:tcPr>
            <w:tcW w:w="8380" w:type="dxa"/>
            <w:vAlign w:val="bottom"/>
            <w:gridSpan w:val="26"/>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90</w:t>
            </w: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Private Securities Litigation Reform Act of 1995, Section 27A of the Securities Act of 1933, as amended (the “Securities Act”), and Section 21E of the Securities Exchange Act of 1934, as amended (the “Exchange Act”). We have based these forward-looking statements largely on our current expectations and projections about future events and financial trends impacting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Forward-looking statements include all statements that are not historical facts.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spacing w:after="0" w:line="104" w:lineRule="exact"/>
        <w:rPr>
          <w:sz w:val="20"/>
          <w:szCs w:val="20"/>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our intellectual property protection and the scope and duration of such protection;</w:t>
      </w:r>
    </w:p>
    <w:p>
      <w:pPr>
        <w:spacing w:after="0" w:line="157"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including suppliers, delivery platforms, brand sponsors, software providers and service providers;</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in public spaces and any errors caused by human supervisors, network connectivity or automation;</w:t>
      </w:r>
    </w:p>
    <w:p>
      <w:pPr>
        <w:spacing w:after="0" w:line="146" w:lineRule="exact"/>
        <w:rPr>
          <w:rFonts w:ascii="Times New Roman" w:cs="Times New Roman" w:eastAsia="Times New Roman" w:hAnsi="Times New Roman"/>
          <w:sz w:val="14"/>
          <w:szCs w:val="14"/>
          <w:color w:val="auto"/>
        </w:rPr>
      </w:pPr>
    </w:p>
    <w:p>
      <w:pPr>
        <w:ind w:left="700" w:hanging="250"/>
        <w:spacing w:after="0" w:line="287" w:lineRule="auto"/>
        <w:tabs>
          <w:tab w:leader="none" w:pos="6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robots’ reliance on sophisticated software technology that incorporates third-party components and networks to operate, and our ability to maintain licenses for this software technology;</w:t>
      </w:r>
    </w:p>
    <w:p>
      <w:pPr>
        <w:spacing w:after="0" w:line="103"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products at a large scale;</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industry in which we operate which is subject to rapid technological change;</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capital to develop our technology and scale our operations;</w:t>
      </w:r>
    </w:p>
    <w:p>
      <w:pPr>
        <w:spacing w:after="0" w:line="157"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our competitors and our industry;</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control the costs associated with our operations;</w:t>
      </w:r>
    </w:p>
    <w:p>
      <w:pPr>
        <w:spacing w:after="0" w:line="146"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and future laws and regulations, especially those related to personal delivery devices;</w:t>
      </w:r>
    </w:p>
    <w:p>
      <w:pPr>
        <w:spacing w:after="0" w:line="157"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cybersecurity risks to our operational systems, infrastructure, and integrated software by us or third-party vendors; and</w:t>
      </w:r>
    </w:p>
    <w:p>
      <w:pPr>
        <w:spacing w:after="0" w:line="144" w:lineRule="exact"/>
        <w:rPr>
          <w:rFonts w:ascii="Times New Roman" w:cs="Times New Roman" w:eastAsia="Times New Roman" w:hAnsi="Times New Roman"/>
          <w:sz w:val="14"/>
          <w:szCs w:val="14"/>
          <w:color w:val="auto"/>
        </w:rPr>
      </w:pPr>
    </w:p>
    <w:p>
      <w:pPr>
        <w:ind w:left="700" w:hanging="250"/>
        <w:spacing w:after="0"/>
        <w:tabs>
          <w:tab w:leader="none" w:pos="7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risks and uncertainties, including those listed under </w:t>
      </w:r>
      <w:r>
        <w:rPr>
          <w:rFonts w:ascii="Times New Roman" w:cs="Times New Roman" w:eastAsia="Times New Roman" w:hAnsi="Times New Roman"/>
          <w:sz w:val="14"/>
          <w:szCs w:val="14"/>
          <w:i w:val="1"/>
          <w:iCs w:val="1"/>
          <w:color w:val="auto"/>
        </w:rPr>
        <w:t>Item 1A. Risk Factors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the underlying assumptions prove incorrect, actual results may differ significantly from those anticipated, believed, estimated, expected, intended or planned.</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Factors or events that could cause our actual results to differ may emerge from time to time, and it is not possible for us to predict all of them. We cannot guarantee future results, levels of activity, performance or achievements. Accordingly, the forward-looking statements in this Annual Report on Form 10-K should not be regarded as representations that the results or conditions described in such statements will occur or that our objectives and plans will be achieved, and we do not assume any responsibility for the accuracy or completeness of any of these forward-looking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were incorporated in the State of Delaware as Patricia Acquisition Corp. on November 9, 2020. On July 31, 2023, our wholly-owned merger sub merged with and into Serve (the “Merger”).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and we changed our name to “Serve Robotics Inc.”</w:t>
      </w:r>
    </w:p>
    <w:p>
      <w:pPr>
        <w:spacing w:after="0" w:line="162"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Prior to the Merger, Patricia Acquisition Corp. was a “shell” company registered under the Exchange Act, with no specific business plan or purpose until it began operating the business of Serve following the closing of the Merger.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Glossary of Terms and Abbreviations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glossary of technical terms used in this annual report: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AI — </w:t>
      </w:r>
      <w:r>
        <w:rPr>
          <w:rFonts w:ascii="Times New Roman" w:cs="Times New Roman" w:eastAsia="Times New Roman" w:hAnsi="Times New Roman"/>
          <w:sz w:val="14"/>
          <w:szCs w:val="14"/>
          <w:color w:val="auto"/>
        </w:rPr>
        <w:t>Artificial Intelligence</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AV — </w:t>
      </w:r>
      <w:r>
        <w:rPr>
          <w:rFonts w:ascii="Times New Roman" w:cs="Times New Roman" w:eastAsia="Times New Roman" w:hAnsi="Times New Roman"/>
          <w:sz w:val="14"/>
          <w:szCs w:val="14"/>
          <w:color w:val="auto"/>
        </w:rPr>
        <w:t>Autonomous Vehicle</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GPS — </w:t>
      </w:r>
      <w:r>
        <w:rPr>
          <w:rFonts w:ascii="Times New Roman" w:cs="Times New Roman" w:eastAsia="Times New Roman" w:hAnsi="Times New Roman"/>
          <w:sz w:val="14"/>
          <w:szCs w:val="14"/>
          <w:color w:val="auto"/>
        </w:rPr>
        <w:t>Global Positioning System</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GPU — </w:t>
      </w:r>
      <w:r>
        <w:rPr>
          <w:rFonts w:ascii="Times New Roman" w:cs="Times New Roman" w:eastAsia="Times New Roman" w:hAnsi="Times New Roman"/>
          <w:sz w:val="14"/>
          <w:szCs w:val="14"/>
          <w:color w:val="auto"/>
        </w:rPr>
        <w:t>Graphical Processing Unit</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IMU — </w:t>
      </w:r>
      <w:r>
        <w:rPr>
          <w:rFonts w:ascii="Times New Roman" w:cs="Times New Roman" w:eastAsia="Times New Roman" w:hAnsi="Times New Roman"/>
          <w:sz w:val="14"/>
          <w:szCs w:val="14"/>
          <w:color w:val="auto"/>
        </w:rPr>
        <w:t>Inertial Measurement Unit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LIDAR — </w:t>
      </w:r>
      <w:r>
        <w:rPr>
          <w:rFonts w:ascii="Times New Roman" w:cs="Times New Roman" w:eastAsia="Times New Roman" w:hAnsi="Times New Roman"/>
          <w:sz w:val="14"/>
          <w:szCs w:val="14"/>
          <w:color w:val="auto"/>
        </w:rPr>
        <w:t>A digital sensor for measuring distance to objects which uses the principle of radar, but uses light from a laser</w:t>
      </w:r>
    </w:p>
    <w:p>
      <w:pPr>
        <w:spacing w:after="0" w:line="147"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ODD — </w:t>
      </w:r>
      <w:r>
        <w:rPr>
          <w:rFonts w:ascii="Times New Roman" w:cs="Times New Roman" w:eastAsia="Times New Roman" w:hAnsi="Times New Roman"/>
          <w:sz w:val="14"/>
          <w:szCs w:val="14"/>
          <w:color w:val="auto"/>
        </w:rPr>
        <w:t>Operating Design Domain describes the specific operating conditions in which the automated driving system is designed to properly operate, including but not limited to roadway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types, speed range, and environmental conditions</w:t>
      </w:r>
    </w:p>
    <w:p>
      <w:pPr>
        <w:spacing w:after="0" w:line="99" w:lineRule="exact"/>
        <w:rPr>
          <w:sz w:val="20"/>
          <w:szCs w:val="20"/>
          <w:color w:val="auto"/>
        </w:rPr>
      </w:pPr>
    </w:p>
    <w:p>
      <w:pPr>
        <w:ind w:right="3460" w:firstLine="509"/>
        <w:spacing w:after="0" w:line="460" w:lineRule="auto"/>
        <w:rPr>
          <w:sz w:val="20"/>
          <w:szCs w:val="20"/>
          <w:color w:val="auto"/>
        </w:rPr>
      </w:pPr>
      <w:r>
        <w:rPr>
          <w:rFonts w:ascii="Times New Roman" w:cs="Times New Roman" w:eastAsia="Times New Roman" w:hAnsi="Times New Roman"/>
          <w:sz w:val="14"/>
          <w:szCs w:val="14"/>
          <w:b w:val="1"/>
          <w:bCs w:val="1"/>
          <w:color w:val="auto"/>
        </w:rPr>
        <w:t xml:space="preserve">Reverse Logistics — </w:t>
      </w:r>
      <w:r>
        <w:rPr>
          <w:rFonts w:ascii="Times New Roman" w:cs="Times New Roman" w:eastAsia="Times New Roman" w:hAnsi="Times New Roman"/>
          <w:sz w:val="14"/>
          <w:szCs w:val="14"/>
          <w:color w:val="auto"/>
        </w:rPr>
        <w:t>A type of supply chain management that moves goods from customers back to the sellers or manufacturers</w:t>
      </w:r>
      <w:r>
        <w:rPr>
          <w:rFonts w:ascii="Times New Roman" w:cs="Times New Roman" w:eastAsia="Times New Roman" w:hAnsi="Times New Roman"/>
          <w:sz w:val="14"/>
          <w:szCs w:val="14"/>
          <w:b w:val="1"/>
          <w:bCs w:val="1"/>
          <w:color w:val="auto"/>
        </w:rPr>
        <w:t xml:space="preserve"> Company Overview</w:t>
      </w:r>
    </w:p>
    <w:p>
      <w:pPr>
        <w:jc w:val="both"/>
        <w:spacing w:after="0" w:line="259" w:lineRule="auto"/>
        <w:rPr>
          <w:sz w:val="20"/>
          <w:szCs w:val="20"/>
          <w:color w:val="auto"/>
        </w:rPr>
      </w:pPr>
      <w:r>
        <w:rPr>
          <w:rFonts w:ascii="Times New Roman" w:cs="Times New Roman" w:eastAsia="Times New Roman" w:hAnsi="Times New Roman"/>
          <w:sz w:val="14"/>
          <w:szCs w:val="14"/>
          <w:color w:val="auto"/>
        </w:rPr>
        <w:t>We are shaping the future of sustainable, self-driving delivery. We design, develop and operate low-emissions robots on our AI-powered robotics mobility platform, that serve people in public spaces, starting with food delivery. Starting in 2017, our core technology was developed by our co-founders and a majority of our product and engineering team in San Francisco, California as a special project within Postmates Inc. (“Postmates”), one of the pioneering food delivery startups in the United States. By the end of 2020, the team had developed a fleet of sidewalk robots that had successfully performed over 10,000 commercial deliveries for Postmates in California, augmenting Postmates’ fleet of human couriers. Postmates was acquired by Uber Technologies, Inc. (“Uber”) in 2020, and in February of 2021, Uber’s leadership team agreed to contribute the intellectual property developed by the team and assets relating to this project. In return for this contribution and an investment of cash into the Company, Uber acquired a minority equity interest in our business.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Serve’s fleet consisted of over 100 robots. We plan to deploy 2,000 robots by the end of 2025. We have platform-level integrations with Uber Eats, which means Serve robots can provide real-time presence and status updates on those platforms and receive requests to perform deliveries with respect to customer orders placed on those platforms as needed.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Because Serve started within a food delivery company, our team comes with a depth of expertise in food delivery. Additionally, the engineering team has extensive experience in AI, automation and robotics. Our leadership team includes veterans from Uber, Instacart, Postmates, Waymo, Apple Inc., Blue Origin, LLC, GoPro, Inc., GoDaddy Inc., and Anki, Inc. We believe our expertise positions us to service the ever-growing on-demand delivery market, including food delivery.</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 By eliminating unnecessary car traffic, and by reducing the cost of last-mile transportation, Serve aims to reshape cities into sustainable, safe, and people-friendly environments, with thriving local economies.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Tailwinds for Automation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Despite technological innovations of the past few decades as well as growing adoption of online commerce and home delivery, last-mile delivery has remained costly. While an ever-growing share of consumers is shopping online and demanding faster deliveries, a number of factors have contributed to keeping last-mile costs high:</w:t>
      </w:r>
    </w:p>
    <w:p>
      <w:pPr>
        <w:spacing w:after="0" w:line="103" w:lineRule="exact"/>
        <w:rPr>
          <w:sz w:val="20"/>
          <w:szCs w:val="20"/>
          <w:color w:val="auto"/>
        </w:rPr>
      </w:pPr>
    </w:p>
    <w:p>
      <w:pPr>
        <w:ind w:left="760" w:hanging="246"/>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shortages caused by the aging population and the COVID-19 pandemic have led to wage inflation.</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On-demand delivery companies in many jurisdictions are battling regulatory pressures to classify gig workers as employees, which would in turn increase labor costs.</w:t>
      </w:r>
    </w:p>
    <w:p>
      <w:pPr>
        <w:spacing w:after="0" w:line="146"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recently, cities across the United States have introduced maximum limits on how much delivery platforms can charge restaurants and merchants, highlighting the need to lower underlying delivery costs.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Labor cost inflation and regulatory pressures serve as tailwinds that are expected to accelerate the adoption of automated robotic last-mile delivery. While labor costs typically increase over time, hardware and technology costs typically decrease. We expect the cost of cameras, GPU processors, electric motors, batteries, and advanced sensors such as LIDAR to continue to decrease, while mobile networks will become faster and more reliable with higher bandwidth and geographic coverage, which will lead to a downward trend in the cost of building and operating robots.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Delivery Robot Operations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sidewalk delivery robots start each day at a central depot located near their operating area. While most robots deploy to and return from their operating area automatically and without further vehicular assistance, some robots may be transported to and from operating areas that are further away in a human-driven vehicle. They are supervised through mobile connectivity and video streaming by remote human operators who can assist robots when necessary, such as at intersection crossings or when robots are unable to navigate certain conditions. In less frequent occasions, if a robot requires physical assistance, such as when a robot is too low on battery to return home or if it has been damaged, a nearby employee is dispatched to repair or return the robot.</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night, robots return to their central depot to be recharged, maintained, upgraded when necessary, and prepared for next morning’s deployment.</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Serve’s third-generation robots are designed to carry more goods, enable more deliveries, and further reduce the cost of delivery. They can move roughly twice as fast, travel approximately twice as far on a single charge, and spend 6 more hours in the field each day compared to our prior generation. The third-generation robots also enjoy an expanded cargo bin that holds four large 16-inch pizzas or 15% more volume than the previous robots. Their new drivetrain is equipped with suspension to drive smoother and faster while protecting food quality, and their improved water resistance expands the robots’ ability to maneuver confidently in a wider range of weather conditions.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4"/>
          <w:szCs w:val="14"/>
          <w:color w:val="auto"/>
        </w:rPr>
        <w:t>Importantly, these hardware and software enhancements combine to extend Serve’s commitment to safety on the sidewalk. In addition to market-leading safety capabilities, including fail-safe mechanical braking and autonomous collision avoidance, the third-generation robots introduce enhanced emergency braking — stopping 40% more quickly.</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Furthermore, our robots are equipped with a number of security features to prevent their cargo and their associated data and IP from unauthorized access. The robots’ secure cargo compartment can only be unlocked through the delivery app’s interface or using a security code entered on the touch screen. Moreover, using encrypted communication protocols and data storage as well as secure authentication methods, the data and software onboard each robot is protected from unauthorized access. Finally, robots are equipped with redundant real-time location tracking systems as well as alarm and communication features to deter attempts at vandalism and enable quick recovery of assets in the unlikely event of theft.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Robotic Delivery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automation decreases the cost of last-mile delivery and leads to increased adoption, we anticipate opportunities for impact over the long term:</w:t>
      </w:r>
    </w:p>
    <w:p>
      <w:pPr>
        <w:spacing w:after="0" w:line="147"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Greenhouse Gas Emissions: We believe robots and drones can reduce emissions caused by large vehicles used today for moving small packages.</w:t>
      </w:r>
    </w:p>
    <w:p>
      <w:pPr>
        <w:spacing w:after="0" w:line="146"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Delivery Costs: While all automated delivery vehicles still require a certain amount of human involvement (e.g., loading &amp; unloading, maintenance, remote supervision), we believe labor is leveraged more efficiently resulting in more deliveries per unit of human effort. Just as automation has done in the past, it is expected that this will reduce delivery costs.</w:t>
      </w:r>
    </w:p>
    <w:p>
      <w:pPr>
        <w:spacing w:after="0" w:line="10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On-Demand Adoption: On-demand services are largely luxuries afforded by affluent consumers today. We believe reducing delivery costs could make home delivery services affordable to more people.</w:t>
      </w:r>
    </w:p>
    <w:p>
      <w:pPr>
        <w:spacing w:after="0" w:line="92"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Easier Reverse Logistics: We believe reducing the cost for last-mile transportation is likely to increase adoption of reverse logistics applications as well (e.g., more convenient package returns).</w:t>
      </w:r>
    </w:p>
    <w:p>
      <w:pPr>
        <w:spacing w:after="0" w:line="9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Local Commerce: We believe that the increased adoption of home delivery will result in more commerce for local businesses.</w:t>
      </w:r>
    </w:p>
    <w:p>
      <w:pPr>
        <w:spacing w:after="0" w:line="157" w:lineRule="exact"/>
        <w:rPr>
          <w:rFonts w:ascii="Times New Roman" w:cs="Times New Roman" w:eastAsia="Times New Roman" w:hAnsi="Times New Roman"/>
          <w:sz w:val="14"/>
          <w:szCs w:val="14"/>
          <w:color w:val="auto"/>
        </w:rPr>
      </w:pPr>
    </w:p>
    <w:p>
      <w:pPr>
        <w:jc w:val="both"/>
        <w:ind w:left="7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Local Jobs: We believe increased delivery and local commerce activities resulting from reduction in cost of delivery could lead to more local jobs, ranging from increased staffing of local businesses, logistics operators who enable automated delivery networks to function, and human couriers who perform deliveries that automated services cannot perform.</w:t>
      </w:r>
    </w:p>
    <w:p>
      <w:pPr>
        <w:spacing w:after="0" w:line="92"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Delivery Quality: Like most automated systems, robots are less prone to error. For example, customers of food delivery platforms often experience missing items, mistaken orders, and lost or missed deliveries altogether. Robots promise to reduce such errors, creating a better experience for customers and merchants alike.</w:t>
      </w:r>
    </w:p>
    <w:p>
      <w:pPr>
        <w:spacing w:after="0" w:line="9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Safer Roads: According to a study by the National Highway Traffic Safety Administration (the “NHTSA”) from December 2023, there were 7,388 pedestrians and 966 cyclists killed in</w:t>
      </w:r>
    </w:p>
    <w:p>
      <w:pPr>
        <w:spacing w:after="0" w:line="23" w:lineRule="exact"/>
        <w:rPr>
          <w:rFonts w:ascii="Times New Roman" w:cs="Times New Roman" w:eastAsia="Times New Roman" w:hAnsi="Times New Roman"/>
          <w:sz w:val="14"/>
          <w:szCs w:val="14"/>
          <w:color w:val="auto"/>
        </w:rPr>
      </w:pPr>
    </w:p>
    <w:p>
      <w:pPr>
        <w:ind w:left="76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motor vehicle crashes in 2021 in the United States. There are many factors that contribute to pedestrian and bicyclist fatalities and injuries, including: speeding, distracted driving, drunk driving, and aggressive driving.</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Delivery robots weigh significantly less and move at lower speeds than cars; as a result, on average, a single car carries over a thousand times more kinetic energy than a single robot.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We anticipate that replacing cars with delivery robots could result in safer cities for pedestrians and cyclists.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Serve Technology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robotic technology has been developed based on the following key principles:</w:t>
      </w:r>
    </w:p>
    <w:p>
      <w:pPr>
        <w:spacing w:after="0" w:line="155" w:lineRule="exact"/>
        <w:rPr>
          <w:sz w:val="20"/>
          <w:szCs w:val="20"/>
          <w:color w:val="auto"/>
        </w:rPr>
      </w:pPr>
    </w:p>
    <w:p>
      <w:pPr>
        <w:jc w:val="both"/>
        <w:ind w:left="760" w:hanging="246"/>
        <w:spacing w:after="0" w:line="271"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Humans and Machines</w:t>
      </w:r>
      <w:r>
        <w:rPr>
          <w:rFonts w:ascii="Times New Roman" w:cs="Times New Roman" w:eastAsia="Times New Roman" w:hAnsi="Times New Roman"/>
          <w:sz w:val="14"/>
          <w:szCs w:val="14"/>
          <w:color w:val="auto"/>
        </w:rPr>
        <w:t>: We believe that the most effective way to quickly unleash the benefits of AI and autonomy in our lives is by designing solutions that leverage both human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machine intelligence in ways that collaborate and complement each other. Creating fully autonomous machines that are safe and reliable without any human intervention requires substantially more time and capital investment than creating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machines that are mostly automated but can rely on occasional human support, especially when it comes to high consequence safety-critical decisions.</w:t>
      </w:r>
    </w:p>
    <w:p>
      <w:pPr>
        <w:spacing w:after="0" w:line="155" w:lineRule="exact"/>
        <w:rPr>
          <w:sz w:val="20"/>
          <w:szCs w:val="20"/>
          <w:color w:val="auto"/>
        </w:rPr>
      </w:pPr>
    </w:p>
    <w:p>
      <w:pPr>
        <w:jc w:val="both"/>
        <w:ind w:left="760" w:hanging="246"/>
        <w:spacing w:after="0" w:line="271" w:lineRule="auto"/>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Labor-Optimized</w:t>
      </w:r>
      <w:r>
        <w:rPr>
          <w:rFonts w:ascii="Times New Roman" w:cs="Times New Roman" w:eastAsia="Times New Roman" w:hAnsi="Times New Roman"/>
          <w:sz w:val="14"/>
          <w:szCs w:val="14"/>
          <w:color w:val="auto"/>
        </w:rPr>
        <w:t>: We believe the cost of advanced sensors and hardware will continue to decrease over the coming years, and optimizing against such costs can be premature and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 with diminishing long-term returns. Instead, we have continued to innovate by designing highly capable hardware and software solutions for robotic last-mile delivery that optimize against the largest cost of delivery: labor.</w:t>
      </w:r>
    </w:p>
    <w:p>
      <w:pPr>
        <w:spacing w:after="0" w:line="101" w:lineRule="exact"/>
        <w:rPr>
          <w:rFonts w:ascii="Times New Roman" w:cs="Times New Roman" w:eastAsia="Times New Roman" w:hAnsi="Times New Roman"/>
          <w:sz w:val="14"/>
          <w:szCs w:val="14"/>
          <w:color w:val="auto"/>
        </w:rPr>
      </w:pPr>
    </w:p>
    <w:p>
      <w:pPr>
        <w:ind w:left="760" w:hanging="246"/>
        <w:spacing w:after="0" w:line="290" w:lineRule="auto"/>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Robots Among People</w:t>
      </w:r>
      <w:r>
        <w:rPr>
          <w:rFonts w:ascii="Times New Roman" w:cs="Times New Roman" w:eastAsia="Times New Roman" w:hAnsi="Times New Roman"/>
          <w:sz w:val="14"/>
          <w:szCs w:val="14"/>
          <w:color w:val="auto"/>
        </w:rPr>
        <w:t>: We believe that building world-class hardware, software, AI and autonomy for robots to share spaces with people is how we are positioned to build market value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create a lasting legacy.</w:t>
      </w:r>
    </w:p>
    <w:p>
      <w:pPr>
        <w:spacing w:after="0" w:line="8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Robotic Platform</w:t>
      </w:r>
      <w:r>
        <w:rPr>
          <w:rFonts w:ascii="Times New Roman" w:cs="Times New Roman" w:eastAsia="Times New Roman" w:hAnsi="Times New Roman"/>
          <w:sz w:val="14"/>
          <w:szCs w:val="14"/>
          <w:color w:val="auto"/>
        </w:rPr>
        <w:t>: Our mission is to build a superior robotic platform that can accelerate the adoption of robotic solutions beyond last-mile delivery.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key highlights of our approach to technology development:</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Artificial Intelligence </w:t>
      </w:r>
      <w:r>
        <w:rPr>
          <w:rFonts w:ascii="Times New Roman" w:cs="Times New Roman" w:eastAsia="Times New Roman" w:hAnsi="Times New Roman"/>
          <w:sz w:val="14"/>
          <w:szCs w:val="14"/>
          <w:color w:val="auto"/>
        </w:rPr>
        <w:t>— AI empowers Serve robots to navigate city sidewalks and interact with their environment safely and efficiently. We use the latest AI methodologies to design, train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deploy a host of models on Serve robots. Currently, our AI models are used to perform a variety of tasks, including identification of sidewalk surfaces, intersections, traffic signals, obstacles, pedestrians and vehicles, and projecting the trajectory of other dynamic agents.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last seven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Level 4 Autonomy </w:t>
      </w:r>
      <w:r>
        <w:rPr>
          <w:rFonts w:ascii="Times New Roman" w:cs="Times New Roman" w:eastAsia="Times New Roman" w:hAnsi="Times New Roman"/>
          <w:sz w:val="14"/>
          <w:szCs w:val="14"/>
          <w:color w:val="auto"/>
        </w:rPr>
        <w:t>— In January 2022, we announced the deployment of a new generation of delivery robots capable of operating at Level 4 autonomy.</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Safety </w:t>
      </w:r>
      <w:r>
        <w:rPr>
          <w:rFonts w:ascii="Times New Roman" w:cs="Times New Roman" w:eastAsia="Times New Roman" w:hAnsi="Times New Roman"/>
          <w:sz w:val="14"/>
          <w:szCs w:val="14"/>
          <w:color w:val="auto"/>
        </w:rPr>
        <w:t>— Achieving Level 4 autonomy required Serve robots to maintain safety even when operating without supervision. As such, we have designed robust onboard safety systems that rely heavily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Serve’s advanced sensors and AI capabilities. This significantly reduces the possibility of collisions even when the robots are being supervised.</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spacing w:after="0" w:line="112" w:lineRule="exact"/>
        <w:rPr>
          <w:sz w:val="20"/>
          <w:szCs w:val="20"/>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Automatic emergency braking</w:t>
      </w:r>
      <w:r>
        <w:rPr>
          <w:rFonts w:ascii="Times New Roman" w:cs="Times New Roman" w:eastAsia="Times New Roman" w:hAnsi="Times New Roman"/>
          <w:sz w:val="14"/>
          <w:szCs w:val="14"/>
          <w:color w:val="auto"/>
        </w:rPr>
        <w:t>: If a remote supervisor mistakenly puts a robot at risk of collision, the robot will automatically override the remote supervisor and come to a stop.</w:t>
      </w:r>
    </w:p>
    <w:p>
      <w:pPr>
        <w:spacing w:after="0" w:line="146" w:lineRule="exact"/>
        <w:rPr>
          <w:rFonts w:ascii="Times New Roman" w:cs="Times New Roman" w:eastAsia="Times New Roman" w:hAnsi="Times New Roman"/>
          <w:sz w:val="14"/>
          <w:szCs w:val="14"/>
          <w:color w:val="auto"/>
        </w:rPr>
      </w:pPr>
    </w:p>
    <w:p>
      <w:pPr>
        <w:jc w:val="both"/>
        <w:ind w:left="760" w:hanging="246"/>
        <w:spacing w:after="0" w:line="271"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Vehicle collision avoidance</w:t>
      </w:r>
      <w:r>
        <w:rPr>
          <w:rFonts w:ascii="Times New Roman" w:cs="Times New Roman" w:eastAsia="Times New Roman" w:hAnsi="Times New Roman"/>
          <w:sz w:val="14"/>
          <w:szCs w:val="14"/>
          <w:color w:val="auto"/>
        </w:rPr>
        <w:t>: While Serve robots and their remote supervisors are trained to ensure legal and safe crossing of intersections and driveways, drivers of vehicles can still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760" w:hanging="246"/>
        <w:spacing w:after="0" w:line="271"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Fail-safe mechanical braking</w:t>
      </w:r>
      <w:r>
        <w:rPr>
          <w:rFonts w:ascii="Times New Roman" w:cs="Times New Roman" w:eastAsia="Times New Roman" w:hAnsi="Times New Roman"/>
          <w:sz w:val="14"/>
          <w:szCs w:val="14"/>
          <w:color w:val="auto"/>
        </w:rPr>
        <w:t>: We believe another unique and innovative capability of Serve robots is their fail-safe emergency braking. No matter how reliable and well tested,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batteries, electronics and computer systems occasionally fail. During any such failures, Serve robots automatically come to a full stop through a mechanically designed fail safe braking system. Some robots used by competitors solely rely on electronic braking, which can become ineffective during power or computer failures.</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Manufacturing — </w:t>
      </w:r>
      <w:r>
        <w:rPr>
          <w:rFonts w:ascii="Times New Roman" w:cs="Times New Roman" w:eastAsia="Times New Roman" w:hAnsi="Times New Roman"/>
          <w:sz w:val="14"/>
          <w:szCs w:val="14"/>
          <w:color w:val="auto"/>
        </w:rPr>
        <w:t>Our robots are designed by Serve’s internal team of mechanical, electrical, and system engineers to not only meet product requirements but also supply availability of components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manufacturing and assembly for scalability.</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Manufacturing and assembly of robots take place by a third-party contract manufacturer after component supply has been secured. The most recent delivery of Serve robots were final assembled by Magna International, our contract manufacturer in the United States. We engage an outsourced contract manufacturing firm for various subassembly components. In addition to Manga International supporting our manufacturing efforts, the Company has also entered into commercial relationships including software services and licensing arrangements, which resulted in the Company recognizing revenue for the year ended December 31,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After seven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strategy relies on providing partners with a complete end-to-end delivery solution and charging a fee per delivery—or per hour depending on the type of partnership.</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robots can perform other value-add tasks while in operation and capture additional revenues, such as out-of-home (“OOH”) branding on transit vehicles. Similar to billboards and buses today, brands are placing ads on Serve robots’ exteriors.</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2021, we signed a commercial agreement with Uber.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plan to continue growing our delivery operations and establish Serve as the global leader in automated last-mile delivery. Our growth will be facilitated by continued investment in our hardware, software and AI developments that increase the performance and efficiency of our fleet.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worldwide sidewalk robotic market is highly competitive and we expect it will become even more competitive in the future as a significant and growing number of established and new companies enter the space. We also compete with human delivery drivers for market share in the delivery space.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Impact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our internal data, we estimate that over 95% of deliveries completed by Serve robots over the last year would otherwise be performed by personal vehicles.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According to the International Energy Agency, 3.16 billion metric tons of CO2 were emitted by passenger vehicles in 2023. Assuming the 2022 estimate by the Bureau of Transportation Statistics that 16.2% of car trips were taken for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shopping and errands, and our proprietary delivery data indicating half of all shopping trips can be completed by delivery robots, this suggests that the scaled use of robotic delivery could reduce global passenger car emissions of such trips from approximately 256 megatons to less than 10 megatons per year, which is a reduction of over 96% as estimated by a study published in Transportation Research Part D: Transport and Environment (Volume 85, August 2020, 102443).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United States, delivery robots are generally allowed to operate on most sidewalks by default.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spacing w:after="0" w:line="102" w:lineRule="exact"/>
        <w:rPr>
          <w:sz w:val="20"/>
          <w:szCs w:val="20"/>
          <w:color w:val="auto"/>
        </w:rPr>
      </w:pPr>
    </w:p>
    <w:p>
      <w:pPr>
        <w:ind w:left="760" w:hanging="246"/>
        <w:spacing w:after="0" w:line="29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Robots Inherently Safer: </w:t>
      </w:r>
      <w:r>
        <w:rPr>
          <w:rFonts w:ascii="Times New Roman" w:cs="Times New Roman" w:eastAsia="Times New Roman" w:hAnsi="Times New Roman"/>
          <w:sz w:val="14"/>
          <w:szCs w:val="14"/>
          <w:color w:val="auto"/>
        </w:rPr>
        <w:t>Cars carry over 1,000 times more kinetic energy than robots. As a result of having much lower kinetic energy, robots do not pose the same risk for injury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fatality that cars do. Meanwhile, cars injure and kill thousands of pedestrians and cyclists each year. Removing unnecessary car trips can make cities safer for pedestrians and cyclists.</w:t>
      </w:r>
    </w:p>
    <w:p>
      <w:pPr>
        <w:spacing w:after="0" w:line="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Robots Reduce Emissions: </w:t>
      </w:r>
      <w:r>
        <w:rPr>
          <w:rFonts w:ascii="Times New Roman" w:cs="Times New Roman" w:eastAsia="Times New Roman" w:hAnsi="Times New Roman"/>
          <w:sz w:val="14"/>
          <w:szCs w:val="14"/>
          <w:color w:val="auto"/>
        </w:rPr>
        <w:t>Many cities have established targets for reducing carbon emissions, and robots can help advance their environmental initiatives.</w:t>
      </w:r>
    </w:p>
    <w:p>
      <w:pPr>
        <w:spacing w:after="0" w:line="146"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Robots Reduce Congestion: </w:t>
      </w:r>
      <w:r>
        <w:rPr>
          <w:rFonts w:ascii="Times New Roman" w:cs="Times New Roman" w:eastAsia="Times New Roman" w:hAnsi="Times New Roman"/>
          <w:sz w:val="14"/>
          <w:szCs w:val="14"/>
          <w:color w:val="auto"/>
        </w:rPr>
        <w:t>Deliveries often originate in high traffic regions where restaurants and shops tend to be located. As a result, removing delivery car traffic can reduce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congestion and parking issues in cities.</w:t>
      </w:r>
    </w:p>
    <w:p>
      <w:pPr>
        <w:spacing w:after="0" w:line="88"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Robots Reduce Delivery Cost for Local Merchants: </w:t>
      </w:r>
      <w:r>
        <w:rPr>
          <w:rFonts w:ascii="Times New Roman" w:cs="Times New Roman" w:eastAsia="Times New Roman" w:hAnsi="Times New Roman"/>
          <w:sz w:val="14"/>
          <w:szCs w:val="14"/>
          <w:color w:val="auto"/>
        </w:rPr>
        <w:t>Recently, a number of cities have implemented restrictions on how much delivery platforms can charge restaurants for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services. Robots can offer a cheaper alternative to help local restaurants and merchants reduce their delivery costs.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subject to various federal, state and local laws and regulations that govern aspects of our business operations. While costs associated with compliance with laws and regulations have increased as the number and scope of regulations have increased, the total costs incurred have not had, and are not expected to have, a material effect on our capital expenditures, results of operations or competitive position. See “Risk Factors” in Item 1A for discussion of risks relating to federal, state, local and international laws and regulations applicable to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success and ability to compete are significantly dependent on our core technology and intellectual property. We currently have 18 active patent matters in various jurisdictions: China (1 patent), the United States (12 patents), and Canada (5 patents).</w:t>
      </w:r>
    </w:p>
    <w:p>
      <w:pPr>
        <w:spacing w:after="0" w:line="1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have thus far been granted 11 of the 18 patents for which we have applied — 6 in the United States, 4 in Canada and 1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Legal protections afford only limited protection for our technology. 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Despite our best efforts, our means of protecting our proprietary rights may be inadequate. It is possible that our current patents, or patents we later acquire, may be successfully challenged or invalidated in whole or in part. It is also possible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will harm or altogether preclude our ability to do business. Moreover, unauthorized parties and our competitors may either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we have 110 employees in the United States and 11 employees in Canada through our wholly-owned Canadian subsidiary, 120 of which are full-time employees. By primary job function, about 45% of our employees have engineering or product roles, 45% are in operations and 10% have business development or other administrative roles. None of our employees are represented by a labor union or covered by a collective bargaining agreement. We consider our relationship with our employees to be good.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Competitive Pay and Benefits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provide compensation and benefits packages that we believe are competitive within our industry. We use a combination of cash and equity compensation and other benefits to attract, motivate and retain our employees, including equity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Recruitment, Retention, and Development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our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Equity, and Inclusion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value the uniqueness that an inclusive and diverse team brings to our company. Therefore, we are focused on creating an environment that leverages the perspectives and contributions of each employee.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Safety, Health, and Wellness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prioritize safe working conditions. We are committed to an injury-free workplace and provide comprehensive workplace training and support to reduce or eliminate health and safety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public company, and our Annual Reports on Form 10-K, Quarterly Reports on Form 10-Q, Current Reports on Form 8-K and any amendments to such reports are filed with the SEC. We are subject to the informational requirements of the Exchange Act and file or furnish reports, proxy statements, and other information with the Securities and Exchange Commission (the “SEC"). Such reports and other information filed by us with the SEC will be available free of charge on our website at www.serverobotics.com when such reports are available on the SEC’s website. The SEC maintains a website that contains reports, proxy and information statements, and other information that issuers file electronically with the SEC at www.sec.gov. Our website is www.serverobotics.com, and we can be contacted at investor.relations@serverobotics.com.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contents of the websites referred to above are not incorporated into this filing. Further, our references to the URLs for these websites are intended to be inactive textual references only.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Investment in our stock involves a high degree of risk. You should consider carefully the risks described below, together with other information in this Annual Report on Form 10-K and our other filings with the SEC, before making investment decisions regarding our stock. If any of the following risks and uncertainties, or if any other risks and uncertainties, actually occurs, our business, financial condition, or operating results could differ materially from the plans, projections, and other forward-looking statements included in Part II, Item 7. Management’s Discussion and Analysis of Financial Condition and Results of Operations” and elsewhere in this Annual Report on Form 10-K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 Moreover, the risks described below are not the only ones that we face. Additional risks not presently known to us or that we currently deem immaterial may also affect our business, operating results, prospects or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not been profitable to date, and we expect operating losses for the near future. During the years ended December 31, 2024 and 2023, we generated revenue of $1.81 million and $0.21 million, respectively, and incurred a net loss of $39.19 million and $24.81 million, respectively.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which may make it difficult to evaluate our business and prospects.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effectively manage our growth, we may not be able to design, develop, manufacture, market, and launch new generations of our robotic systems successfully.</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spacing w:after="0" w:line="103" w:lineRule="exact"/>
        <w:rPr>
          <w:sz w:val="20"/>
          <w:szCs w:val="20"/>
          <w:color w:val="auto"/>
        </w:rPr>
      </w:pPr>
    </w:p>
    <w:p>
      <w:pPr>
        <w:ind w:left="820" w:hanging="242"/>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the management, engineering, and product teams;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recruiting individuals with the appropriate relevant experience;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and training new personnel;</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commercialization of new products and services;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forecasting production and revenue;</w:t>
      </w:r>
    </w:p>
    <w:p>
      <w:pPr>
        <w:spacing w:after="0" w:line="146" w:lineRule="exact"/>
        <w:rPr>
          <w:rFonts w:ascii="Times New Roman" w:cs="Times New Roman" w:eastAsia="Times New Roman" w:hAnsi="Times New Roman"/>
          <w:sz w:val="14"/>
          <w:szCs w:val="14"/>
          <w:color w:val="auto"/>
        </w:rPr>
      </w:pPr>
    </w:p>
    <w:p>
      <w:pPr>
        <w:ind w:left="840" w:hanging="262"/>
        <w:spacing w:after="0" w:line="287" w:lineRule="auto"/>
        <w:tabs>
          <w:tab w:leader="none" w:pos="8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relationships with one or more third-party design for manufacturing partners and third-party contract manufacturers and/or expanding our internal manufacturing capabilities;</w:t>
      </w:r>
    </w:p>
    <w:p>
      <w:pPr>
        <w:spacing w:after="0" w:line="103"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expenses and investments in anticipation of expanded operations;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out acquisitions and entering into collaborations, in-licensing arrangements, joint ventures, strategic alliances or partnerships;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and enhancing internal information technology, safety, and security systems;</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demonstrations;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into new markets and geographies;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our ODD into new environments;</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agreements with suppliers and service providers; and</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and enhancing administrative infrastructure, systems, and processes.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Should achieved market penetration warrant, we intend to continue to hire a significant number of additional personnel, including engineers, design, production, and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revenues and profits are subject to fluctuations.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on our services, general economic conditions, our ability to market our company to companies, headcount and other operating costs, and general industry and regulatory conditions and requirements. The Company’s operating results may fluctuate from year to year due to the factors listed above and others not listed. At times, these fluctuations may be significant and could impact our ability to operate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significant portion of our revenue is concentrated with two customers.</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 significant portion of our revenue is concentrated with two customers, Magna and Uber. For the years ended December 31, 2024 and 2023, sales to Magna and Uber accounted for 91% and 71% of our total revenue, respectively. There are inherent risks whenever a large percentage of total revenues are concentrated with a limited number of customers. If Uber were to breach, cancel or amend our agreement, it may have an outsized effect on our revenue, cash on hand, and profitability. In addition, we may have an increased interest in accepting less favorable terms of any amendment as a result.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general economic conditions.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model is dependent on companies purchasing our robotic delivery and branding services.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directors may be engaged in a range of business activities that could result in conflicts of interest.</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be subject to various potential conflicts of interest because some of our officers and directors may be engaged in a range of business activities.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changes in interest rates and foreign currency exchange rates may adversely affect our financial condition, liquidity,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inability of our supply chain to deliver certain key electrical components, such as semiconductors, could materially adversely affect our business, financial condition and results of operations.</w:t>
      </w:r>
    </w:p>
    <w:p>
      <w:pPr>
        <w:spacing w:after="0" w:line="3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For example, throughout 2022, we experienced delays in supply chain deliveries, extended lead times and shortages of key components. Supply chain disruptions may delay the timing of production and maintenance of our robots, which in turn could negatively impact our business, results of operations and financial condition.</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attract and retain highly qualified personnel in the future could harm our business.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new hires often require significant training and, in many cases, take significant time before they achieve full productivity. We may incur significant costs to attract and retain qualified personnel, including significant expenditures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or legal proceedings could expose us to significant liabilities, occupy a considerable amount of our management’s time and attention, and damage our reputation.</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revenue plans rely on partnering with third-party delivery platforms, brand sponsors and/or direct sales to merchants.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financial projections also anticipate generating revenues from brand sponsors who would pay to place their branding on our robots as a form of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16% and 22% of our revenues for the years ended December 31, 2024 and 2023, respectively, coming from OOH advertising. In the future, if we are unable to realize these sales, our business model and go-to-market strategy will be jeopardized.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of our service providers or disruptions to our outsourcing relationships may negatively impact our ability to conduct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of our remote piloting services are currently provided by third-party vendors, and from service centers outside of the United States. Services provided pursuant to arrangements with these third-party vendors could be disrupted due to events outside of their control such as power failures, cybersecurity incidents, internet traffic congestion or increased latency, natural disasters,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robots operate in public spaces and any errors caused by human supervisors, network connectivity issues, third-party software, or automation may adversely affect our commercial relationships.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attract and retain customers (including merchants, platform partners, and brand sponsors) is heavily dependent on our ability to provide a safe and reliable service. Our safety and security track record have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policies to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can adversely impact our ability to continue our operations.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limited experience commercializing our products at a large scale and may not be able to do so efficiently or effectively.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substantially reliant on our relationships with suppliers and service providers for the parts and components in our robots, as well as for the manufacture of our robots. If any of these suppliers or service partners choose to not do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with us, then we would have significant difficulty in procuring and producing our robots and our business prospects would be significantly harmed.</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for a defined quantity. Failure to leverage this agreement, or secure similar supplier agreements for components that may face availability constraints due to supply chain disruptions can result in higher prices for those components, which in turn increases the cost of manufacturing robots and result in an adverse financial impact to our delivery economics.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Tariffs imposed by the United States and other countries, as well as changing trade relations, regional and international conflicts, and political conditions could have a material adverse effect on our business and results of operations.</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Changes in United States and foreign governments’ trade policies, as well as volatility caused by regional and international conflicts, and the political climate in the United States, have resulted in, and may continue to result in, tariffs on imports into and exports from the United States. Tariffs on certain products can increase our costs of doing business. If we are unable to recover these costs, our business may be adversely impacted. Diminished trade relations, conflicts between the United States and other countries, and any escalation of tariffs could have a material adverse effect on our financial performance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evolving regulations around personal delivery devices ("PDDs") could materially impact our business and growth prospects in new markets.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the City of Chicago, Washington State and the District of Columbia have unladen weight restrictions between 90 and 135 lbs, and the City of Santa Monica and New York State both prohibit the operation of autonomous devices on sidewalks. These ordinances and statutes require amendments in order for us to expand into those jurisdictions.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Furthermore, the cellular network and radio systems contained in our robots are regulated by the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and other regulatory bodies. Any failure to comply with the Department of Transportation’s storage and transport requirements or the FCC’s regulations on wireless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cause significant safety concerns, each of which could adversely affect our results of operations, financial condition and our reputation.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inadequate disclosure of risks relating to the use of sidewalk robots, among others,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competitive industry that is subject to rapid technological change, and competitors may have or attain more resources and/or greater market recognition than we do.</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 superior results to customers or are less expensive than our products. Our technologies and products could have reduced competitiveness by such developments.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cannot protect, maintain and, if necessary, enforce our intellectual property rights, our ability to develop and commercialize products may be adversely impacted.</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If necessary, we intend to initiate actions to protect our intellectual property, which will be costly and time consuming, and could have an adverse impact on our business, results of operation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of infringement of third-party intellectual property rights.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operating results may be adversely affected if third parties claim that our products infringed their patent, copyright, or other intellectual property rights. We cannot assure that our products do not, or will not in the future, infringe patents held by others. Although there have been no allegations made to this effect, we cannot assure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Security breaches and other disruptions could compromise our proprietary information and expose us to liability, which would cause our business and reputation to suffer.</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network disruptions from numerous causes, including computer viruses and other cyber-attacks, facility access issues, new system implementations, and energy blackouts.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that such system improvements will be sufficient to prevent or limit the damage from any future cyber-attack or network disruptions.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third-party actors attempted to steal one of our robots. We are not aware that any data was obtained during any incident of vandalism or attempted theft.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11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delivery robotic systems on a large scale, coupled with the fact that our products represent a new product category in the commercial and delivery robotic market, means we have limited historical data 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cannot raise additional funds when we need or want them, we may be forced to curtail or abandon our growth plans, which could adversely impact the Company, its business, development, financial condition, operating results or prospects.</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will need additional capital to develop future versions of the Serve robots and scale our commercial delivery operations. We will not be able to continue product development and our commercial deliveries if we cannot raise additional debt and/or equity financing.</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spacing w:after="0" w:line="1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during the year, we were required to keep deposits with Silicon Valley Bank pursuant to our Loan and Security Agreement with them. This Loan and Security Agreement was fully repaid during 2024. Although we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use of the internet via websites, mobile devices and other platforms, particularly with respect to online food ordering, does not continue, our business and growth prospects will be harmed.</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spacing w:after="0" w:line="104" w:lineRule="exact"/>
        <w:rPr>
          <w:sz w:val="20"/>
          <w:szCs w:val="20"/>
          <w:color w:val="auto"/>
        </w:rPr>
      </w:pPr>
    </w:p>
    <w:p>
      <w:pPr>
        <w:ind w:left="820" w:hanging="242"/>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lack of security of information or privacy protection;</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disruptions, computer viruses or other damage to internet servers, users’ computers or mobile applications;</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excessive governmental regulation; and</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unacceptable delays due to actual or perceived limitations of wireless networks.</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we believe labor inflation increases the cost of manual courier delivery and similar alternatives to robotic delivery more than it increases robotic delivery cost. However, we believe improvements in robot autonomy will continue to reduce the rate of labor usage.</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report necessarily reflect various estimates and assumptions that may not prove accurate and these projections could differ materially from actual results because of the risks included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among others. If demand does not develop as expected or if we cannot accurately forecast pricing, adoption rates and sales cycle for our products, our business, results of operations and financial condition will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benefits of our products to customers and projected return on investment have not been substantiated through long-term trials or use.</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core products’ benefits to customers and projected return on investment have not been substantiated through long-term trials or use. We currently have a limited frame of reference by which to evaluate the performance of our delivery robotic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delivery robotic systems.</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successfully market our robotic systems, the purchase or subscription, adoption and use of these systems may be materially and negatively impacted if our customers resist their use and adoption.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systems, products, technologies and services and related equipment may have shorter useful lives than we anticipate.</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prior to the end of its life obsolete.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acquisitions, partnerships, or joint ventures that we enter into could disrupt our operations and have a material adverse effect on our business, financial condition and results of operations.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we may evaluate potential strategic acquisitions of businesses, including partnerships or joint ventures with third parties. We may not be successful in identifying acquisition, partnership, and joint venture candidates. In addition, we may not be able to continue the operational success of such businesses or successfully finance or integrate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Failure to successfully identify, complete, manage and integrate acquisitions could materially and adversely affect our business, financial condition and results of operations and could cause our stock price to decline.</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related to natural disasters, health epidemics and other outbreaks, which could significantly disrupt our operations.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spacing w:after="0" w:line="10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any manufacturing partners, and suppliers may rely on complex machinery for production, which involves a significant degree of risk and uncertainty in terms of operational performance and costs.</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adequately control the costs associated with our operations.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expects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Laws, regulations, and other legislative efforts related to climate change, environmental concerns, and health and safety could result in increased operating costs, reduced demand for our products and services, or the loss of future business.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2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regulations could lead to withdrawal or recall of our products from the market, delay our projected revenues, increase cost, or make our business unviable if we are unable to modify our products to comply.</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Severe weather conditions and climate change could have a material adverse impact on our business by reducing the operating hours of our robots.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robots are designed to operate in common environmental conditions. Currently we operate our robots in warm and dry climates, and we do not operate robots under rare or extreme conditions such as strong storms or unusually high or low temperatures. While with each new generation of robots we plan to continually expand their operating ability (e.g., introducing the ability to manage ice and snow), which in turn would expand our geographic reach, there is no guarantee that our efforts will successfully overcome all severe weather conditions.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Additionally, we are subject to increased security risks due to many personnel working remotely.</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2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Additionally, as our international presence expands, we may become subject to or face increasing obligations under laws and regulations in countries outside the United States, many of which, such as the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U.S. and foreign anti-corruption and anti-money laundering laws and regulations. We can face criminal liability and other serious consequences for violations, which can harm our business, prospects, financial condition and operating results.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(the “FCPA”), the U.S. domestic bribery statute contained in 18 U.S.C. § 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Being a public company can be administratively burdensome and will significantly increase our legal and financial compliance costs.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public reporting company, 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spacing w:after="0" w:line="122" w:lineRule="exact"/>
        <w:rPr>
          <w:sz w:val="20"/>
          <w:szCs w:val="20"/>
          <w:color w:val="auto"/>
        </w:rPr>
      </w:pPr>
    </w:p>
    <w:p>
      <w:pPr>
        <w:ind w:left="840" w:hanging="262"/>
        <w:spacing w:after="0" w:line="287" w:lineRule="auto"/>
        <w:tabs>
          <w:tab w:leader="none" w:pos="83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evaluate a system of internal controls over financial reporting in compliance with the requirements of Section 404 of the Sarbanes-Oxley Act and the related rules and regulations of the SEC and the Public Company Accounting Oversight Board;</w:t>
      </w:r>
    </w:p>
    <w:p>
      <w:pPr>
        <w:spacing w:after="0" w:line="92"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policies relating to disclosure controls and procedures;</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distribute periodic reports in compliance with our obligations under federal securities laws;</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institute a more comprehensive compliance function, including with respect to corporate governance; and</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involve, to a greater degree, our outside legal counsel and accountants in the above activities.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(the “Board”)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the Jumpstart Our Business Startups Act of 2012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management as a group has limited experience in operating a publicly traded company.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our common stock may be volatile and could decline significantly.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Stock exchanges and quotation systems, including The Nasdaq Capital Market ("Nasdaq"), on which our common stock is listed or may be listed or quoted on in the future have from time to time experienced significant price and volume fluctuations. Even if an active, liquid and orderly trading market develops and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of our common stock as of the date of purchase. We cannot assure you that the market price of common stock will not fluctuate widely or decline significantly in the future in response to a number of factors, including, among others, the following:</w:t>
      </w:r>
    </w:p>
    <w:p>
      <w:pPr>
        <w:spacing w:after="0" w:line="122" w:lineRule="exact"/>
        <w:rPr>
          <w:sz w:val="20"/>
          <w:szCs w:val="20"/>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realization of any of the risk factors presented in this annual report;</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differences in our estimates, or in the estimates of analysts, for our revenues, results of operations, level of indebtedness, liquidity or financial condition;</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and departures of key personnel;</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common stock on Nasdaq;</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Sarbanes-Oxley Act or other laws or regulations;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issuances, sales, resales or repurchases or anticipated issuances, sales, resales or repurchases, of our common stock;</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market valuations of other similar companies;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 disruptions in the financial markets, including sudden disruptions in the credit markets;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potential or perceived control, accounting or reporting problems; and</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policies and guidelines.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obligated to develop and maintain proper and effective internal control over financial reporting. If we fail to develop and maintain an effective system of disclosure controls and internal control over financial reporting, our ability to produce timely and accurate financial statements or comply with applicable laws and regulations could be impaired. In addition, the presence of a material weakness increases the risk of material misstatement of the consolidated financial statements.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public company and are required, pursuant to Section 404(a) of the Sarbanes-Oxley Act, to furnish a report by management on, among other things, the effectiveness of its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report by management is required to include disclosure of any material weaknesses identified in internal control over financial reporting. However, for as long as we are an “emerging growth company” under the JOBS Act, our independent registered public accounting firm will not be required to attest to the effectiveness of internal control over financial reporting pursuant to Section 404(b) of the Sarbanes-Oxley Act. Management’s assessment of internal controls, when implemented, could detect problems with internal controls, and an independent assessment of the effectiveness of internal controls by our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 public company requirements, we may need to undertake various actions, such as implementing new internal controls and procedures and hiring accounting or internal audit staff.</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in the early stages of developing the system and processing documentation necessary to perform the evaluation needed to comply with Section 404. We may not be able to complete its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discussed elsewhere in this Annual Report on Form 10-K, we completed the Merger on July 31, 2023. Prior to the Merger, Serve was a private company and, therefore, its controls were not required to be designed or maintained in accordance with Rules 13a-15 and 15d-15 under the Exchange Act. The design and implementation of internal control over financial reporting post-Merger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2024. Accordingly, we are excluding management's report on internal control over financial reporting pursuant to Section 215.02 of the SEC Division of Corporation Finance's Regulation S-K Compliance &amp; Disclosure Interpretations. However, management concluded that as of December 31, 2024, we had material weaknesses in our internal controls over financial reporting.</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more than a reasonable possibility that a material misstatement of our annual or interim financial statements will not be prevented or detected on a timely basis.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are unable to assert that our internal control over financial reporting is effective, or if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any over-the-counter trading system, or following any potential listing, listed on any securities exchange.</w:t>
      </w:r>
    </w:p>
    <w:p>
      <w:pPr>
        <w:spacing w:after="0" w:line="10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03" w:lineRule="exact"/>
        <w:rPr>
          <w:sz w:val="20"/>
          <w:szCs w:val="20"/>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have our independent registered public accounting firm audit our internal control over financial reporting under Section 404 of the Sarbanes-Oxley Act;</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our periodic reports and annual report on Form 10-K; and</w:t>
      </w:r>
    </w:p>
    <w:p>
      <w:pPr>
        <w:spacing w:after="0" w:line="146" w:lineRule="exact"/>
        <w:rPr>
          <w:rFonts w:ascii="Times New Roman" w:cs="Times New Roman" w:eastAsia="Times New Roman" w:hAnsi="Times New Roman"/>
          <w:sz w:val="14"/>
          <w:szCs w:val="14"/>
          <w:color w:val="auto"/>
        </w:rPr>
      </w:pPr>
    </w:p>
    <w:p>
      <w:pPr>
        <w:ind w:left="760" w:hanging="246"/>
        <w:spacing w:after="0" w:line="263"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votes on executive compensation and stockholder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could be an emerging growth company for up to five years following the completion of our initial public offering. Our status as an emerging growth company will end as soon as any of the following takes place:</w:t>
      </w:r>
    </w:p>
    <w:p>
      <w:pPr>
        <w:spacing w:after="0" w:line="103" w:lineRule="exact"/>
        <w:rPr>
          <w:sz w:val="20"/>
          <w:szCs w:val="20"/>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day of the fiscal year in which we have more than $1.235 billion in annual revenues;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we qualify as a “large accelerated filer,” with at least $700 million of equity securities held by non-affiliates;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we have issued, in any three-year period, more than $1.00 billion in non-convertible debt securities; or</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day of the fiscal year ending after the fifth anniversary of the completion of our initial public offering.</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spacing w:after="0" w:line="10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or take other corporate actions, including effecting changes in our management. These provisions:</w:t>
      </w:r>
    </w:p>
    <w:p>
      <w:pPr>
        <w:spacing w:after="0" w:line="114" w:lineRule="exact"/>
        <w:rPr>
          <w:sz w:val="20"/>
          <w:szCs w:val="20"/>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so that not all members of our board are elected at one time;</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only the Board to establish the number of directors and fill vacancies on the board;</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only be removed “for cause” and only with the approval of two-thirds of our stockholders;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super-majority voting to amend some provisions in our amended and restated certificate of incorporation and amended and restated bylaws;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our board could use to implement a stockholder rights plan;</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call special meetings of stockholders;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requires all stockholder actions to be taken at a meeting of our stockholders;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and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annual stockholder meetings.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risks related to securities litigation that could result in significant legal expenses and settlement or damage awards.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Accordingly, investors must rely on sales of their common stock after price appreciation, which may never occur, as the only way to realize any future gains on their investments.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or inaccurate research about our business, our stock price and trading volume could decline.</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us or our business, as well as the way analysts and investors interpret our financial information and other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and may continue to be significantly impacted by the worldwide economic downturn due to pandemics, outbreaks of other contagious diseases, and other catastrophic events.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robots, employees or customers; violation of privacy or security laws and other litigation, legal and reputational risks. We have implemented several cybersecurity processes, technologies, and controls to aid in our efforts to assess, identify, and manage such material risks.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part of these processes, and to ensure confidentiality, integrity and availability of critical data and systems, we have implemented various technologies that aid in the prevention, detection, investigation, response and remediation of vulnerabilities, cybersecurity incidents and risks. These technologies and processes include, but are not limited to, mobile device management, virtual private network security services, attack surface management services, cloud threat detection and response systems, cloud security posture management solutions, cloud-native security scanners and source code analysis tooling, continuous compliance monitoring and security awareness training solutions.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Evaluation and mitigation of Third-party risks are included within our broader overall risk assessment process. We perform diligence on third parties that have access to our systems, data or facilities that house such systems or data, and where necessary, we require those third parties that could introduce significant cybersecurity risk to us to agree by contract to manage their cybersecurity risks in specified ways, and to agree to be subject to cybersecurity audits, which we conduct as appropriate. Please see the risk factor entitled “We are subject to cybersecurity risks to our operational systems, security systems, infrastructure, integrated software in our products and data processed by us or third-party vendors..” in Part I, Item 1A. Risk Factors in this report for more information.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security and infrastructure teams are responsible for the continuous monitoring, reporting and response to threats and vulnerabilities discovered through the deployment and operation of these tools. As part of our risk management strategy, our cybersecurity team conducts routine vulnerability and risk assessments within our product operations and service environments. The results of these reviews and any incidents identified by security tooling are reported to senior management and the internal steering committee as part of the quarterly reporting process. As part of routine security assessments, if any deficiencies relating to internal technology controls over financial reporting are discovered, the VP of Security is required to report them directly to the executive management team and internal steering committee without delay.</w:t>
      </w:r>
    </w:p>
    <w:p>
      <w:pPr>
        <w:spacing w:after="0" w:line="16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In the last three fiscal years, we are not aware of and have not experienced any material cybersecurity incidents and the expenses we have incurred from cybersecurity incidents were immaterial. We have not been faced with any penalties or settlements related to cybersecurity.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internal steering committee and board of directors oversees our risk management strategies and processes, regarding risk assessment and risk management as they relate to cybersecurity. Our security team is led by our VP of Security who has over 15 years of direct cybersecurity experience that includes incident response, security operations and management. The security and infrastructure teams are responsible for implementing and maintaining cybersecurity and data protection controls and practices for the protection of our robots, customer and company information, systems and data. The VP of Security in coordination with our internal steering committee, whose members include professionals from our executive team, general counsel, product and technology and finance teams, meet quarterly to review our Cybersecurity risk exposure, discuss internal and external threat actors and prioritize remediation strategies. The internal steering committee makes decisions on the avoidance, transference, acceptance and mitigation of our overall cybersecurity risk exposure.</w:t>
      </w:r>
    </w:p>
    <w:p>
      <w:pPr>
        <w:spacing w:after="0" w:line="167" w:lineRule="exact"/>
        <w:rPr>
          <w:sz w:val="20"/>
          <w:szCs w:val="20"/>
          <w:color w:val="auto"/>
        </w:rPr>
      </w:pPr>
    </w:p>
    <w:p>
      <w:pPr>
        <w:jc w:val="both"/>
        <w:ind w:right="300"/>
        <w:spacing w:after="0" w:line="254" w:lineRule="auto"/>
        <w:rPr>
          <w:sz w:val="20"/>
          <w:szCs w:val="20"/>
          <w:color w:val="auto"/>
        </w:rPr>
      </w:pPr>
      <w:r>
        <w:rPr>
          <w:rFonts w:ascii="Times New Roman" w:cs="Times New Roman" w:eastAsia="Times New Roman" w:hAnsi="Times New Roman"/>
          <w:sz w:val="14"/>
          <w:szCs w:val="14"/>
          <w:color w:val="auto"/>
        </w:rPr>
        <w:t>Our steering committee, typically in joint session with the full board of directors, meets quarterly with Serve executive leadership to receive reports regarding our overall security posture. These reports include updates on the implementation of cybersecurity controls, data security, risk assessments, the status of internal cybersecurity projects, technology compliance, employee awareness training and any notable incidents and remediation that have occurred within the quarter.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current headquarters are located in Redwood City, California, where we lease 4,200 square feet of office and industrial space pursuant to a lease that expires in 2028. Our headquarters contain research and development, operations and selling, general and administrative functions as well as test tracks for our robots. We also lease four other offices throughout the United States. We believe our facilities are adequate and suitable for our current needs and that, should it be needed, suitable additional or alternative space will be available to accommodate our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from time to time subject to various claims, lawsuits and other legal and administrative proceedings arising in the ordinary course of business. However, we do not consider any such claims, lawsuits or proceedings that are currently pending, individually or in the aggregate, to be material to our business or likely to result in a material adverse effect on our future operating results, financial condition or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common stock is quoted on Nasdaq under the symbol "SERV". As of December 31, 2024, there were approximately 135 stockholders of record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and will be dependent upon financial condition, results of operations, capital requirements and such other factors as the Board deems relevant.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August PIPE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27, 2024, we entered into a Securities Purchase Agreement (the “August Purchase Agreement”) with a certain accredited and institutional investor for a private placement offering of pre-funded warrants (the “August Pre-Funded Warrants”) to purchase shares of our common stock and warrants exercisable for shares of our common stock (the “Common Warrants”). Pursuant to the August Purchase Agreement, on August 28, 2024, we sold 555,555 August Pre-Funded Warrants, with each August Pre-Funded Warrant exercisable for one share of our common stock, together with Common Warrants to purchase up to 555,555 shares of our common stock. Each August Pre-Funded Warrant and accompanying Common Warrant were sold together at a combined offering price of $8.9999, for aggregate consideration of $5 million.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August Pre-Funded Warrants are immediately exercisable, at a nominal exercise price of $0.0001, and may be exercised at any time until all of the August Pre-Funded Warrants are exercised in full. The Common Warrants have an exercise price of $10.00 per share (subject to adjustment as set forth in the Common Warrant), are exercisable upon issuance and will expire five and a half years from the date of issuance.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pursuant to the August Purchase Agreement, we agreed with the investor to exercise the Investor Warrants (as defined below) to purchase an aggregate of 2,500,000 shares of our common stock (the “Warrant Exchange”). The Investor Warrants were exercised at their exercise price of $6.00 per share. In consideration for the immediate exercise in full of the Investor Warrants for gross cash proceeds of approximately $15.0 million, the exercising holder received in a private placement new unregistered warrants (the “Exchange Warrants”) to purchase up to an aggregate of 2,200,000 shares of Common Stock with an exercise price of $10.00 per share. The Exchange Warrants are exercisable upon issuance and will expire five and a half years from the date of issuance.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transactions were exempt from registration under Section 4(a)(2) of the Securities Act as not involving any public offering or Regulation D promulgated thereunder.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July PIPE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23, 2024, we entered into a Securities Purchase Agreement (the “July Purchase Agreement”) with a certain accredited and institutional investor for a private placement offering of pre-funded warrants (the “July Pre-Funded Warrants”) to purchase shares of our common stock and warrants exercisable for our common stock (the “Investor Warrants”). Pursuant to the July Purchase Agreement, on July 24, 2024, we sold 2,500,000 July Pre-Funded Warrants, with each July Pre-Funded Warrant exercisable for one share of our common stock, together with Investor Warrants to purchase up to 2,500,000 shares of our common stock. Each July Pre-Funded Warrant and accompanying Investor Warrant were sold together at a combined offering price of $5.9999, for aggregate consideration of $15 million.</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July Pre-Funded Warrants are immediately exercisable, at a nominal exercise price of $0.0001, and may be exercised at any time until all of the July Pre-Funded Warrants are exercised in full. The Investor Warrants have an exercise price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$6.00 per share (subject to adjustment as set forth in the Investor Warrant), are exercisable upon issuance and will expire five and a half years from the date of issuance.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transactions were exempt from registration under Section 4(a)(2) of the Securities Act as not involving any public offering or Regulation D promulgated thereunder.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Representative’s Warrant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April 17, 2024, we entered into an underwriting agreement (the “Underwriting Agreement”) with Aegis Capital Corp. (“Aegis”) in connection with the public offering of 10,000,000 shares of our common stock at a public offering price of $4.00 per share (the “Offering”). Pursuant to the Underwriting Agreement, at the closing of the Offering on April 22, 2024, we issued to Aegis a warrant to purchase 500,000 shares of our common stock (the “Representative’s Warrant”). The Representative’s Warrant is exercisable at a per share exercise price equal to $5.00 and is exercisable at any time and from time to time, in whole or in part, commencing October 14, 2024. The Representative’s Warrant expires on April 17, 2029.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issuance of the Representative’s Warrant was exempt from registration under the Securities Act pursuant to Section 4(a)(2) of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Placement Agent’s Warrant</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a placement agent’s agreement, Network 1 Financial Securities, Inc. (“Network 1”) served as the exclusive placement agent in connection with the Convertible Promissory Notes Offering (as defined below). In connection with the Convertible Promissory Notes Offering, we agreed to issue Network 1 (or its designated affiliates) warrants (the “Placement Agent’s Warrant”) to purchase 10% of the shares of the common stock issued upon conversion of the Convertible Promissory Notes that were issued to investors that Network 1 introduced to us.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Offering, the Convertible Promissory Notes converted to shares of common stock, and on April 22, 2024, we issued Network 1 the Placement Agent’s Warrant to purchase up to 63,479 shares of common stock at an exercise price of $2.42 per share. The Placement Agent’s Warrant expires on April 17, 2029.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issuance of the Placement Agent’s Warrant was exempt from registration under the Securities Act pursuant to Section 4(a)(2) of the Securities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Magna Warrant</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strategic partnership with Magna New Mobility USA, Inc. (“Magna”), on February 7, 2024, the Company issued to Magna a warrant (the “Magna Warrant”) to purchase up to 2,145,000 shares of the Company’s common stock, par value $0.0001 per share (the “Magna Warrant Shares”), subject to adjustments as provided therein, at an exercise price per share of $0.01.</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Magna Warrant is exercisable in two equal tranches: (i) the first tranche became exercisable no later than May 15, 2024, subject to certain conditions; and (ii) the second tranche became exercisable upon the achievement by Magna of a certain manufacturing milestone as set forth in a production and purchase agreement to be entered into with respect to the contract manufacturing of the Company’s autonomous delivery robots by Magna or one of its affiliates. As of December 31, 2024, the manufacturing milestone has been met and the second tranche is fully exercisable.</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Magna Warrant Shares that may be issued pursuant to the exercise of the Magna Warrant were offered and sold in a transaction exempt from registration under the Securities Act in reliance on Section 4(a)(2) of the Securities 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Convertible Promissory Notes Offering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At an initial closing on January 2, 2024 and subsequent closings on January 12, 2024, January 22, 2024 and January 26, 2024, we issued an aggregate of $5.0 million in convertible promissory notes (the “Convertible Promissory Notes”) to accredited investors (the “Convertible Promissory Notes Offering”). These transactions were exempt from registration under Section 4(a)(2) of the Securities Act as not involving any public offering or Regulation D promulgated thereunder.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of the financial condition and results of operations of the Company should be read in conjunction with the financial statements and the notes to those statements included in this Annual Report on Form 10-K for the fiscal year ended December 31, 2024. Some of the information contained in this discussion and analysis including information with respect to our plans and strategy for our business, includes forward-looking statements that involve risk, uncertainties and assumptions. You should read Part I, Item 1A. Risk Factors of this report for a discussion of important factors that could cause actual results to differ materially from the results described in or implied by the forward-looking statements contained in the following discussion and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about Forward-Looking Statements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Annual Report on Form 10-K includes statements that constitute “forward-looking statements.” These forward-looking statements are often characterized by the terms “may,” “believes,” “projects,” “intends,” “plans,” “expects,” or “anticipates,” and do not reflect historical facts.</w:t>
      </w:r>
    </w:p>
    <w:p>
      <w:pPr>
        <w:spacing w:after="0" w:line="1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Specific forward-looking statements contained in this portion of the report include, but are not limited to: (i) statements that are based on current projections and expectations about the markets in which we operate, (ii) statements about current projections and expectations of general economic conditions, (iii) statements about specific industry projections and expectations of economic activity,</w:t>
      </w:r>
    </w:p>
    <w:p>
      <w:pPr>
        <w:spacing w:after="0" w:line="1" w:lineRule="exact"/>
        <w:rPr>
          <w:sz w:val="20"/>
          <w:szCs w:val="20"/>
          <w:color w:val="auto"/>
        </w:rPr>
      </w:pPr>
    </w:p>
    <w:p>
      <w:pPr>
        <w:ind w:firstLine="5"/>
        <w:spacing w:after="0" w:line="266" w:lineRule="auto"/>
        <w:tabs>
          <w:tab w:leader="none" w:pos="24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relating to our future operations, prospects, results, and performance, and (v) statements that the cash on hand and additional cash generated from operations together with potential sources of cash through issuance of debt or equity will provide the Company with sufficient liquidity for the next 12 months.</w:t>
      </w:r>
    </w:p>
    <w:p>
      <w:pPr>
        <w:spacing w:after="0" w:line="1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Forward-looking statements involve risks, uncertainties, and other factors, which may cause our actual results, performance, or achievements to be materially different from those expressed or implied by such forward-looking statements. Factors and risks that could affect our results, future performance and capital requirements and cause them to materially differ from those contained in the forward-looking statements include those identified in the “Cautionary Note Regarding Forward-Looking Statements” and the </w:t>
      </w:r>
      <w:r>
        <w:rPr>
          <w:rFonts w:ascii="Times New Roman" w:cs="Times New Roman" w:eastAsia="Times New Roman" w:hAnsi="Times New Roman"/>
          <w:sz w:val="14"/>
          <w:szCs w:val="14"/>
          <w:i w:val="1"/>
          <w:iCs w:val="1"/>
          <w:color w:val="auto"/>
        </w:rPr>
        <w:t>Part 1, Item 1A. Risk Factors</w:t>
      </w:r>
      <w:r>
        <w:rPr>
          <w:rFonts w:ascii="Times New Roman" w:cs="Times New Roman" w:eastAsia="Times New Roman" w:hAnsi="Times New Roman"/>
          <w:sz w:val="14"/>
          <w:szCs w:val="14"/>
          <w:color w:val="auto"/>
        </w:rPr>
        <w:t xml:space="preserve"> in this report, as well as other factors that we are currently unable to identify or quantify, but that may exist in the future.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foregoing factors may generally affect our business, results of operations and financial position. Forward-looking statements speak only as of the date the statements were made. We do not undertake and specifically decline any obligation to update any forward-looking statements. Any information contained on our website www.serverobotics.com or any other websites referenced in this report are not part of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on a mission to deliver a sustainable future by transforming how goods move among people. Serve has developed an advanced, AI-powered robotics mobility platform, with last-mile delivery in cities as its first application. We are an operating company which has experienced losses since our inception. Our sources of cash to date have been capital investments by stockholders.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discussion contains forward-looking statements, as discussed above. Please see the sections entitled “</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Part I, Item 1A.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Risk Factors </w:t>
      </w:r>
      <w:r>
        <w:rPr>
          <w:rFonts w:ascii="Times New Roman" w:cs="Times New Roman" w:eastAsia="Times New Roman" w:hAnsi="Times New Roman"/>
          <w:sz w:val="14"/>
          <w:szCs w:val="14"/>
          <w:color w:val="auto"/>
        </w:rPr>
        <w:t>in this report for a discussion of the uncertainties, risks and assumptions associated with these forward-looking statements.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principal offices are located at 730 Broadway, Redwood City, CA 94063, our telephone number is (818) 860-1352 and our corporate website (which does not form part of this report) is located at www.serverobotics.com.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31, 2023, Patricia Acquisition Corp., Acquisition Sub, and Serve entered into a Merger Agreement. Pursuant to the terms of the Merger Agreement, on the Closing Date,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On the Closing Date, Serve’s predecessor was renamed Serve Operating Co.</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principles, the historical financial results of Serve, the accounting acquirer, prior to the Merger are considered our historical financial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discussion and analysis are organized as follows:</w:t>
      </w:r>
    </w:p>
    <w:p>
      <w:pPr>
        <w:spacing w:after="0" w:line="145" w:lineRule="exact"/>
        <w:rPr>
          <w:sz w:val="20"/>
          <w:szCs w:val="20"/>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Executive Summary – Summary analysis of financial and other highlights to provide context for the discussion and analysis.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Results of Operations – An analysis of our financial results.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Liquidity, and Capital Resources – An analysis of changes in our balance sheets and cash flows and a discussion of our financial condition and potential sources of liquidity.</w:t>
      </w:r>
    </w:p>
    <w:p>
      <w:pPr>
        <w:spacing w:after="0" w:line="146"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Critical Accounting Estimates – Accounting estimates that management believes are the most important to understanding the assumptions and judgments incorporated in our financial results and forecasts and involve a significant level of estimation uncertainty.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Serve Robotics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Serve is shaping the future of sustainable, self-driving delivery. We design, develop, and operate low-emissions robots that serve people in public spaces, starting with food delivery. Starting in 2017, our core technology was developed by our co-founders and a majority of our product and engineering team in San Francisco, California as a special project within Postmates, one of the pioneering food delivery startups in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Because we started this project within a food delivery company, our team comes with a depth of combined expertise in food delivery, automation, and robotics.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expertise positions us to service the growing on-demand delivery market, including food delivery, where approximately half of all deliveries are less than 2.5 miles and well-suited to delivery by sidewalk robots. We provide a robotic delivery experience that delights customers, improves reliability for merchants, and reduces traffic congestion and eliminates vehicle emissions. At scale, our delivery robots can complete deliveries at lower cost than human couriers, making on-demand delivery more affordable and accessible in areas we operate.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7, 2025, the Company entered into a securities purchase agreement with a certain institutional investor pursuant to which the Company agreed to issue and sell, in a registered direct offering an aggregate of 4,210,525 shares of the Company’s common stock, $0.0001 par value per share at a price of $19.00 per Share. The gross proceeds to the Company from the Registered Direct Offering were approximately $80 million, before deducting the placement agents’ fees and other offering expenses payable by the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Offering and Uplisting to Nasdaq</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17, 2024, we entered into an underwriting agreement with Aegis Capital Corp. (“Aegis”) in connection with the public offering of 10,000,000 shares of our common stock, par value $0.0001, at a public offering price of $4.00 per share (the “Offering”). The Company’s net proceeds from the Offering, after deducting the underwriting discount and other estimated offering expenses payable by the Company, were approximately $35.8 million. As a result of the Offering, the Company’s common stock was approved for listing on The Nasdaq Capital Market and commenced trading under the ticker symbol “SERV” beginning on April 18,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License and Services Agreement</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February 20, 2024, Serve entered into a License and Services Agreement (the “LSA”) with Magna as a part of a strategic partnership with Magna. Pursuant to the LSA, Serve, as an independent contractor of Magna, agreed to (i) grant a non-exclusive royalty-free license to the Serve AMR Technology in the Licensed Fields of Use (each as defined in the LSA) to Magna and its affiliates and</w:t>
      </w:r>
    </w:p>
    <w:p>
      <w:pPr>
        <w:spacing w:after="0" w:line="1" w:lineRule="exact"/>
        <w:rPr>
          <w:sz w:val="20"/>
          <w:szCs w:val="20"/>
          <w:color w:val="auto"/>
        </w:rPr>
      </w:pPr>
    </w:p>
    <w:p>
      <w:pPr>
        <w:ind w:firstLine="5"/>
        <w:spacing w:after="0" w:line="266" w:lineRule="auto"/>
        <w:tabs>
          <w:tab w:leader="none" w:pos="22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Master Services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strategic partnership with Magna, on February 7, 2024, we issued the Magna Warrant to purchase up to 2,145,000 shares of our common stock, subject to adjustments as provided therein, at an exercise price of $0.01 per share. The Magna Warrant was issued pursuant to a production agreement executed in connection with the MSA between the parties in April 2024 whereby Magna will assist the Company in assembly of robotic delivery vehicles.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Magna Warrant is exercisable in two equal tranches: (i) the first tranche became exercisable on in May 2024; and (ii) the second tranche became exercisable in December 2024.</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Magna Warrant Shares that may be issued pursuant to the exercise of the Magna Warrant were offered and sold in a transaction exempt from registration under the Securities Act in reliance on Section 4(a)(2) of the Securities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Promissory Notes Offering</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At an initial closing on January 2, 2024 and subsequent closings on January 12, 2024, January 22, 2024 and January 26, 2024, we issued to certain accredited investors convertible promissory notes, for which the Company received an aggregate of $5 million in proceeds. The convertible promissory notes bear interest at a rate of 6% per year, compounded annually, due and payable upon request by each investor on or after the 12-month anniversary of the original issuance date of each note. The Company may not prepay or repay the notes in cash without the consent of the investors.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Outlook And Challenges Facing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a number of industry factors that affect our business which include,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Overall Demand for Last-mile Delivery on Partner Platforms.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Concentration.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currently have a limited number of customers. Sales to Magna and Uber represented 65% and 26% of our revenues for the year ended December 31, 2024, respectively. If Magna or Uber were to breach, cancel, or amend our agreements, it may have an outsized effect on our revenue, cash on hand, and profitability. Our business development team is actively pursuing new delivery and branding customers to diversify our customer base.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and Market Considerations; Availability of Materials, Labor &amp; Services.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last-mile delivery as labor becomes more expensive and drives up the cost of delivery by humans.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Intellectual Property.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Chain Constraints.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cannot be sure whether global supply chain shortages will impact our future robot build plans. In order to mitigate supply chain risks, we may need to incur higher costs to secure available inventory and place non-cancelable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Governmental and Regulatory Conditions.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currently consists of (1) delivery revenues, (2) branding revenues and (3) software services revenues.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 and Operating Expenses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Cost of revenue. </w:t>
      </w:r>
      <w:r>
        <w:rPr>
          <w:rFonts w:ascii="Times New Roman" w:cs="Times New Roman" w:eastAsia="Times New Roman" w:hAnsi="Times New Roman"/>
          <w:sz w:val="14"/>
          <w:szCs w:val="14"/>
          <w:color w:val="auto"/>
        </w:rPr>
        <w:t>Cost of revenue consists primarily of allocations of depreciation on robot assets used for revenue producing activities, personnel time related to revenue activities and costs related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data, software and similar costs that allow the robots to function as intended and for the Company to communicate with its robots while in service.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w:t>
      </w:r>
      <w:r>
        <w:rPr>
          <w:rFonts w:ascii="Times New Roman" w:cs="Times New Roman" w:eastAsia="Times New Roman" w:hAnsi="Times New Roman"/>
          <w:sz w:val="14"/>
          <w:szCs w:val="14"/>
          <w:color w:val="auto"/>
        </w:rPr>
        <w:t>. Operations expenses primarily consist of costs for field operations personnel.</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Research and Development. </w:t>
      </w:r>
      <w:r>
        <w:rPr>
          <w:rFonts w:ascii="Times New Roman" w:cs="Times New Roman" w:eastAsia="Times New Roman" w:hAnsi="Times New Roman"/>
          <w:sz w:val="14"/>
          <w:szCs w:val="14"/>
          <w:color w:val="auto"/>
        </w:rPr>
        <w:t>Costs incurred in the research and development of the Company’s products are expensed as incurred. Research and development costs include product design, hardware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software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Sales and Marketing. </w:t>
      </w:r>
      <w:r>
        <w:rPr>
          <w:rFonts w:ascii="Times New Roman" w:cs="Times New Roman" w:eastAsia="Times New Roman" w:hAnsi="Times New Roman"/>
          <w:sz w:val="14"/>
          <w:szCs w:val="14"/>
          <w:color w:val="auto"/>
        </w:rPr>
        <w:t>Sales and marketing expenses include personnel costs and public relations expenses. Advertising costs are expensed as incurred and included in sales and marketing expenses.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General and administrative expenses primarily consist of personnel-related expenses for executive management and administrative functions, including finance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accounting, legal and human resources, as well as general corporate expenses and general insurance. General and administrative expenses also include depreciation on property and equipment as well as amortization of right of use assets.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(Expense), Net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consists of stated rates of interest on financing instruments, fees incurred related to financing instruments or accretion of debt discounts.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Fair Value of future equity obligations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fair value of the simple agreements for future equity (“SAFEs”) relate to updated assumptions and estimates are recognized within the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net of other expenses, consists primarily of income generated from our interest-bearing deposit account.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Overview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2024 and 2023, we generated revenues of $1.81 million and $0.21 million, respectively, and reported net loss of $39.19 million and $24.81 million,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noted in our consolidated financial statements, as of December 31, 2024, we had an accumulated deficit of $107.53 million.</w:t>
      </w:r>
    </w:p>
    <w:p>
      <w:pPr>
        <w:spacing w:after="0" w:line="200" w:lineRule="exact"/>
        <w:rPr>
          <w:sz w:val="20"/>
          <w:szCs w:val="20"/>
          <w:color w:val="auto"/>
        </w:rPr>
      </w:pPr>
    </w:p>
    <w:p>
      <w:pPr>
        <w:spacing w:after="0" w:line="28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125" w:right="5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Results of Operations for the Year ended December 31, 2024 and 2023</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operating results as reflected in our statements of operations during the year ended December 31, 2024 and 2023, respectively, and provides information regarding the dollar and percentage increase (or decrease) during such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8"/>
        </w:trPr>
        <w:tc>
          <w:tcPr>
            <w:tcW w:w="6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03"/>
        </w:trPr>
        <w:tc>
          <w:tcPr>
            <w:tcW w:w="6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2"/>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1,812,483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207,545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1,604,938</w:t>
            </w:r>
          </w:p>
        </w:tc>
      </w:tr>
      <w:tr>
        <w:trPr>
          <w:trHeight w:val="20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1,887,639</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1,730,262</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157,377</w:t>
            </w:r>
          </w:p>
        </w:tc>
      </w:tr>
      <w:tr>
        <w:trPr>
          <w:trHeight w:val="202"/>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Gross profit (loss)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(1,522,717)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1,447,561</w:t>
            </w:r>
          </w:p>
        </w:tc>
      </w:tr>
      <w:tr>
        <w:trPr>
          <w:trHeight w:val="212"/>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6"/>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10,092,911</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4,618,499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5,474,412</w:t>
            </w:r>
          </w:p>
        </w:tc>
      </w:tr>
      <w:tr>
        <w:trPr>
          <w:trHeight w:val="207"/>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3,288,779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2,564,930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723,849</w:t>
            </w:r>
          </w:p>
        </w:tc>
      </w:tr>
      <w:tr>
        <w:trPr>
          <w:trHeight w:val="196"/>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24,255,023</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9,947,258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14,307,765</w:t>
            </w:r>
          </w:p>
        </w:tc>
      </w:tr>
      <w:tr>
        <w:trPr>
          <w:trHeight w:val="207"/>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577,075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605,205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(28,130)</w:t>
            </w:r>
          </w:p>
        </w:tc>
      </w:tr>
      <w:tr>
        <w:trPr>
          <w:trHeight w:val="203"/>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1,468,995</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(1,468,995)</w:t>
            </w:r>
          </w:p>
        </w:tc>
      </w:tr>
      <w:tr>
        <w:trPr>
          <w:trHeight w:val="202"/>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38,213,788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19,204,887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19,008,901</w:t>
            </w:r>
          </w:p>
        </w:tc>
      </w:tr>
      <w:tr>
        <w:trPr>
          <w:trHeight w:val="212"/>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(38,288,944)</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(20,727,604)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(17,561,340)</w:t>
            </w:r>
          </w:p>
        </w:tc>
      </w:tr>
      <w:tr>
        <w:trPr>
          <w:trHeight w:val="212"/>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6"/>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(680,548)</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(2,264,426)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1,583,878</w:t>
            </w:r>
          </w:p>
        </w:tc>
      </w:tr>
      <w:tr>
        <w:trPr>
          <w:trHeight w:val="207"/>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(221,560)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(72,560)</w:t>
            </w:r>
          </w:p>
        </w:tc>
      </w:tr>
      <w:tr>
        <w:trPr>
          <w:trHeight w:val="203"/>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(1,672,706)</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1,672,706</w:t>
            </w:r>
          </w:p>
        </w:tc>
      </w:tr>
      <w:tr>
        <w:trPr>
          <w:trHeight w:val="202"/>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(902,108)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(4,086,132)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3,184,024</w:t>
            </w:r>
          </w:p>
        </w:tc>
      </w:tr>
      <w:tr>
        <w:trPr>
          <w:trHeight w:val="212"/>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(39,191,052)</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(24,813,736)</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(14,377,316)</w:t>
            </w:r>
          </w:p>
        </w:tc>
      </w:tr>
      <w:tr>
        <w:trPr>
          <w:trHeight w:val="20"/>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3"/>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 and diluted</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36,658,834</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14,204,078</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22,454,756</w:t>
            </w:r>
          </w:p>
        </w:tc>
      </w:tr>
      <w:tr>
        <w:trPr>
          <w:trHeight w:val="20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common share - basic and diluted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(0.64)</w:t>
            </w:r>
          </w:p>
        </w:tc>
      </w:tr>
      <w:tr>
        <w:trPr>
          <w:trHeight w:val="20"/>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Revenues increased $1.60 million to $1.81 million for the year ended December 31, 2024 from $0.21 million for the year ended December 31, 2023. The increase is due primarily to the $1.19 million in revenues generated from software services. The Company also recognized an increase in delivery and branding revenues of $0.44 million to $0.63 million for the year ended December 31, 2024, compared to $0.19 million for the same period in 2023.</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revenues increased $0.16 million to $1.89 million for the year ended December 31, 2024, compared with $1.73 million for the year ended December 31, 2023, due primarily to an increase in headcount, partially offset by depreciation on robot assets in the prior year.</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 increased $5.47 million to $10.09 million for the year ended December 31, 2024, compared with $4.62 million for the year ended December 31, 2023, due primarily to an increase in headcount of $0.85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stock-based compensation expense of $2.77 million, legal fees of $0.97 million and increased investor relations expenses of $0.39 million .</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Operations expense increased $0.72 million to $3.29 million for the year ended December 31, 2024, compared with $2.56 million for the year ended December 31, 2023, due primarily to an increase in headcount of $0.20 million and additional facility costs of $0.11 million.</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expense increased $14.31 million to $24.26 million for the year ended December 31, 2024, compared with $9.95 million for the year ended December 31, 2023, due primarily to an increase in stock-based compensation expense of $11.07 million and headcount of $2.21 million.</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and marketing expenses decreased $0.03 million to $0.58 million for the year ended December 31, 2024, compared with $0.61 million for the year ended December 31, 2023, due primarily to a decrease in public relations expense offset by an increase in headcount and stock-based compensation.</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prior year ended December 31, 2023, an impairment of long-lived asset expense of $1.47 million was recognized due to the carrying value being greater than the undiscounted flows over the remaining depreciable life.</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expense, net increased $1.58 million to $0.68 million for the year ended December 31, 2024, compared with $2.26 million for the year ended December 31, 2023, due primarily to interest earned on bank deposits of $1.22 million and by the decrease of interest expense from the repayment of the outstanding notes.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fair value of derivative liability increased by $0.07 million to $0.22 million for the year ended December 31, 2024 compared to $0.15 million for the year ended December 31,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expense was due to the valuation of of the derivatives associated with the 2024 Notes, which were converted into common shares upon the Offering..</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was no change in fair value of the simple agreements for future equity (“SAFEs”) for the year ended December 31, 2024, compared with $1.67 million for the same period in 2023. The decrease in expense is related to the SAFE agreements converting to common stock as a part of the merger.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metrics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regularly review the following key business metrics to evaluate our business, measure our performance, identify trends affecting our business, formulate business plans, and make strategic decisions:</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Twelve Months Ended</w:t>
            </w:r>
          </w:p>
        </w:tc>
      </w:tr>
      <w:tr>
        <w:trPr>
          <w:trHeight w:val="198"/>
        </w:trPr>
        <w:tc>
          <w:tcPr>
            <w:tcW w:w="4100" w:type="dxa"/>
            <w:vAlign w:val="bottom"/>
          </w:tcPr>
          <w:p>
            <w:pPr>
              <w:spacing w:after="0"/>
              <w:rPr>
                <w:sz w:val="17"/>
                <w:szCs w:val="17"/>
                <w:color w:val="auto"/>
              </w:rPr>
            </w:pPr>
          </w:p>
        </w:tc>
        <w:tc>
          <w:tcPr>
            <w:tcW w:w="27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Borders>
              <w:bottom w:val="single" w:sz="8" w:color="auto"/>
            </w:tcBorders>
            <w:gridSpan w:val="3"/>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11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Key Metrics</w:t>
            </w:r>
          </w:p>
        </w:tc>
        <w:tc>
          <w:tcPr>
            <w:tcW w:w="11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(Unaudited)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(Unaudited)</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(Unaudited)</w:t>
            </w:r>
          </w:p>
        </w:tc>
      </w:tr>
      <w:tr>
        <w:trPr>
          <w:trHeight w:val="187"/>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Daily Active Robots</w:t>
            </w:r>
          </w:p>
        </w:tc>
        <w:tc>
          <w:tcPr>
            <w:tcW w:w="1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1"/>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Daily Supply Hours</w:t>
            </w:r>
          </w:p>
        </w:tc>
        <w:tc>
          <w:tcPr>
            <w:tcW w:w="11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bl>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Daily Active Robots: </w:t>
      </w:r>
      <w:r>
        <w:rPr>
          <w:rFonts w:ascii="Times New Roman" w:cs="Times New Roman" w:eastAsia="Times New Roman" w:hAnsi="Times New Roman"/>
          <w:sz w:val="14"/>
          <w:szCs w:val="14"/>
          <w:color w:val="auto"/>
        </w:rPr>
        <w:t>We define daily active robots as the average number of robots performing daily deliveries during the period. Daily active robots reflect our operation team’s capacity to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Daily Supply Hours: </w:t>
      </w:r>
      <w:r>
        <w:rPr>
          <w:rFonts w:ascii="Times New Roman" w:cs="Times New Roman" w:eastAsia="Times New Roman" w:hAnsi="Times New Roman"/>
          <w:sz w:val="14"/>
          <w:szCs w:val="14"/>
          <w:color w:val="auto"/>
        </w:rPr>
        <w:t>We define daily supply hours as the average number of hours our robots are ready to accept offers and perform daily deliveries during the period. Supply hours represent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had current assets of $125.25 million and current liabilities of $6.81 million, which included $123.27 million in cash and cash equivalents. Cash and cash equivalents consisted of cash on deposit with banks as well as an institutional money market account.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generated significant operating losses from our operations as reflected in our accumulated deficit of $107.53 million as of December 31, 2024. We have historically funded our operations from issuance of equity and debt securities, including our initial public offering in April 2024. To execute on our strategic initiatives to continue to grow our business, we may incur operating losses and generate negative cash flows from operations in the future, and as a result, we may require additional capital resources. We believe our existing cash and cash equivalents will be sufficient to meet our working capital and capital expenditures needs for at least the next 12 months.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future capital expenditures will depend on many factors, including, but not limited to our growth, our ability to attract and retain customers, the continuing market acceptance of our offerings, the time and extent of spending to support our efforts to develop our platform, and the expansion of sales and marketing activities, the timing and extent of spending for policy initiatives. Further, we may in the future enter into arrangements to acquire or invest in businesses, products,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8"/>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indicated: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8"/>
        </w:trPr>
        <w:tc>
          <w:tcPr>
            <w:tcW w:w="6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Twelve Months Ended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99"/>
              </w:rPr>
              <w:t>(21,542,229)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(15,970,878)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(5,571,351)</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40" w:type="dxa"/>
            <w:vAlign w:val="bottom"/>
          </w:tcPr>
          <w:p>
            <w:pPr>
              <w:spacing w:after="0"/>
              <w:rPr>
                <w:sz w:val="17"/>
                <w:szCs w:val="17"/>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(10,317,987)</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(10,313,073)</w:t>
            </w:r>
          </w:p>
        </w:tc>
      </w:tr>
      <w:tr>
        <w:trPr>
          <w:trHeight w:val="20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155,119,897</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13,266,829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141,853,068</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123,259,681</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(2,708,963)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125,968,644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was $21.54 million and $15.97 million for the years ended December 31, 2024 and 2023, respectively. The increase of $5.57 million primarily consisted of a net loss of $39.19 million, adjusted for certain non-cash items, which primarily includes $14.55 million of non-cash stock-based compensation expense, $0.31 million of depreciation expense, and $1.68 million of amortization of debt discount. The increase in cash used for 2024 compared to 2023 was mainly due to the increase in net loss and increased stock based compensation.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$10.32 million and $0.00 million for the years ended December 31, 2024 and 2023, respectively. The increase of $10.31 million was mainly due to robot build construction in-process.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financing activities was $155.12 million and $13.27 million for the years ended December 31, 2024 and 2023, respectively. The increase of $141.85 million was due to $77.60 million from Proceeds from issuance of common stock under the sales agreement and equity distribution agreement, net of offering costs, $35.85 million from proceeds of issuance of common stock pursuant to public offering, net of issuance costs, $17.12 million from proceeds from issuance of prefunded warrants to purchase common stock in connection with private placement, net of issuance costs, $22.45 million from proceeds from the exercise of warrants, partially offset by repayments of note payable and financinglease liability (as more fully described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Indebtedness</w:t>
      </w:r>
    </w:p>
    <w:p>
      <w:pPr>
        <w:spacing w:after="0" w:line="1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March 2022, we entered into a term loan with Silicon Valley Bank for gross proceeds of $2.50 million with a maturity date of March 1, 2025. The loan accrues interest at the greater of 3.25</w:t>
      </w:r>
      <w:r>
        <w:rPr>
          <w:rFonts w:ascii="Arial" w:cs="Arial" w:eastAsia="Arial" w:hAnsi="Arial"/>
          <w:sz w:val="16"/>
          <w:szCs w:val="16"/>
          <w:color w:val="auto"/>
        </w:rPr>
        <w:t>%</w:t>
      </w:r>
      <w:r>
        <w:rPr>
          <w:rFonts w:ascii="Times New Roman" w:cs="Times New Roman" w:eastAsia="Times New Roman" w:hAnsi="Times New Roman"/>
          <w:sz w:val="14"/>
          <w:szCs w:val="14"/>
          <w:color w:val="auto"/>
        </w:rPr>
        <w:t xml:space="preserve"> per annum or prime rate. Principal payments commenced on October 1, 2022, and the loan was repaid in full as of September 30,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June 2022, we entered into an equipment financing lease agreement with Farnam Street commencing November 2022, for the cost of building robots, calling for 24 monthly payments of approximately $0.19 million based on an expected total cost of $4.46 million of robot parts and manufacturing costs. In December 2023, the agreement was modified to require three monthly repayments of approximately $0.03 million each and 12 monthly repayments of approximately $0.19 million each, subject to certain terms and effective in January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consolidated financial statements and the related notes thereto included in this report are prepared in accordance with United States generally accepted accounting principles. The preparation of consolidated financial statements also requires us to make estimates and assumptions that affect the reported amounts of assets, liabilities, revenue, costs and expenses, and related disclosures. Our most critical accounting estimates relate to impairment of long-lived assets and stock-based compensation. These estimates are critical as they require management judgment for inputs that are not observable. These estimates are developed based on historical experience and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 and cash flows will be affected. We believe that the accounting policies described below involve a greater degree of judgment and complexity. Accordingly, these are the policies we believe are most critical to aid in fully understanding and evaluating our consolidated financial condition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account for revenue in accordance with ASC 606 – Revenue from Contracts with Customers (“ASC 606”). We determine revenue recognition through the following steps:</w:t>
      </w:r>
    </w:p>
    <w:p>
      <w:pPr>
        <w:spacing w:after="0" w:line="147" w:lineRule="exact"/>
        <w:rPr>
          <w:sz w:val="20"/>
          <w:szCs w:val="20"/>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a contract with a customer;</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57"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146" w:lineRule="exact"/>
        <w:rPr>
          <w:rFonts w:ascii="Times New Roman" w:cs="Times New Roman" w:eastAsia="Times New Roman" w:hAnsi="Times New Roman"/>
          <w:sz w:val="14"/>
          <w:szCs w:val="14"/>
          <w:color w:val="auto"/>
        </w:rPr>
      </w:pPr>
    </w:p>
    <w:p>
      <w:pPr>
        <w:ind w:left="820" w:hanging="242"/>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performance obligations are satisfied.</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is transferred to customers, in an amount that reflects the consideration we expect to be entitled to in exchange for those goods or services. As a practical expedient, we do not adjust the transaction price for the effects of a significant financing component if, at contract inception, the period between customer payment and the transfer of goods or services is expected to be one year or less.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date, we have generated initial revenues from our delivery services as well as branding fees. For delivery services, we satisfy our performance obligation when the delivery is complete, which is the point in time control of the delivered product transfers to the customer. We recognize branding fees over time as performance obligations are completed over the term of the agreement.</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recognizes revenue on its software services over time. The Company utilizes labor hours as a measure of progress to estimate the percentage of completion of the performance obligation at each reporting period. Service fees that have been invoiced or paid but performance obligations have not been met are recorded as deferred revenue.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account for stock-based compensation in accordance with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We measure all stock-based awards granted to employees, directors and non-employee consultants based on the fair value on the date of the grant and recognizes compensation expense for those awards, net of estimated forfeitures, over the requisite service period, which is generally the vesting period of the respective award. For awards with service-based vesting conditions, we record the expense for using the straight-line method. For awards with performance-based vesting conditions, we record the expense if and when we conclude that it is probable that the performance condition will be achieved.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classify stock-based compensation expenses in our statement of operations in the same manner in which the award recipient’s payroll costs are classified or in which the award recipient’s service payments are classified.</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fair value of each stock option grant is estimated on the date of grant using the Black-Scholes option-pricing model. We historically have been a private company and lacks company-specific historical and implied volatility information for our stock. Therefore, we estimate our expected stock price volatility based on the historical volatility of publicly traded peer companies and expect to continue to do so until such time as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expenses could be materially different for future awards.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smaller reporting company, as defined in Rule 12b-2 under the Exchange Act, for this reporting period and are not required to provide the information required under this item.</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02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86"/>
        </w:trPr>
        <w:tc>
          <w:tcPr>
            <w:tcW w:w="102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0" w:type="dxa"/>
            <w:vAlign w:val="bottom"/>
            <w:gridSpan w:val="2"/>
          </w:tcPr>
          <w:p>
            <w:pPr>
              <w:jc w:val="center"/>
              <w:ind w:right="220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CCEEFF"/>
            </w:tcBorders>
            <w:gridSpan w:val="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(PCAOB ID: #3501)</w:t>
            </w:r>
          </w:p>
        </w:tc>
        <w:tc>
          <w:tcPr>
            <w:tcW w:w="9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F-2</w:t>
            </w:r>
          </w:p>
        </w:tc>
        <w:tc>
          <w:tcPr>
            <w:tcW w:w="20" w:type="dxa"/>
            <w:vAlign w:val="bottom"/>
          </w:tcPr>
          <w:p>
            <w:pPr>
              <w:spacing w:after="0"/>
              <w:rPr>
                <w:sz w:val="13"/>
                <w:szCs w:val="13"/>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4520" w:type="dxa"/>
            <w:vAlign w:val="bottom"/>
            <w:tcBorders>
              <w:top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w:t>
            </w:r>
          </w:p>
        </w:tc>
        <w:tc>
          <w:tcPr>
            <w:tcW w:w="574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F-3</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0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F-4</w:t>
            </w:r>
          </w:p>
        </w:tc>
        <w:tc>
          <w:tcPr>
            <w:tcW w:w="20" w:type="dxa"/>
            <w:vAlign w:val="bottom"/>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CCEE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6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Stockholders’ Equity (Deficit</w:t>
            </w:r>
            <w:r>
              <w:rPr>
                <w:rFonts w:ascii="Times New Roman" w:cs="Times New Roman" w:eastAsia="Times New Roman" w:hAnsi="Times New Roman"/>
                <w:sz w:val="14"/>
                <w:szCs w:val="14"/>
                <w:color w:val="000000"/>
              </w:rPr>
              <w: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F-5</w:t>
            </w:r>
          </w:p>
        </w:tc>
        <w:tc>
          <w:tcPr>
            <w:tcW w:w="20" w:type="dxa"/>
            <w:vAlign w:val="bottom"/>
          </w:tcPr>
          <w:p>
            <w:pPr>
              <w:spacing w:after="0"/>
              <w:rPr>
                <w:sz w:val="12"/>
                <w:szCs w:val="12"/>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top w:val="single" w:sz="8" w:color="0000FF"/>
              <w:bottom w:val="single" w:sz="8" w:color="0000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FF"/>
                <w:w w:val="99"/>
              </w:rPr>
              <w:t>Consolidated Statements of Cash Flows</w:t>
            </w:r>
          </w:p>
        </w:tc>
        <w:tc>
          <w:tcPr>
            <w:tcW w:w="100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7000" w:type="dxa"/>
            <w:vAlign w:val="bottom"/>
            <w:tcBorders>
              <w:bottom w:val="single" w:sz="8" w:color="CCEEFF"/>
            </w:tcBorders>
            <w:gridSpan w:val="2"/>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F-6</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026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F-7</w:t>
            </w:r>
          </w:p>
        </w:tc>
        <w:tc>
          <w:tcPr>
            <w:tcW w:w="20" w:type="dxa"/>
            <w:vAlign w:val="bottom"/>
          </w:tcPr>
          <w:p>
            <w:pPr>
              <w:spacing w:after="0"/>
              <w:rPr>
                <w:sz w:val="12"/>
                <w:szCs w:val="12"/>
                <w:color w:val="auto"/>
              </w:rPr>
            </w:pPr>
          </w:p>
        </w:tc>
      </w:tr>
      <w:tr>
        <w:trPr>
          <w:trHeight w:val="722"/>
        </w:trPr>
        <w:tc>
          <w:tcPr>
            <w:tcW w:w="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40" w:type="dxa"/>
            <w:vAlign w:val="bottom"/>
          </w:tcPr>
          <w:p>
            <w:pPr>
              <w:jc w:val="center"/>
              <w:ind w:right="3469"/>
              <w:spacing w:after="0"/>
              <w:rPr>
                <w:sz w:val="20"/>
                <w:szCs w:val="20"/>
                <w:color w:val="auto"/>
              </w:rPr>
            </w:pPr>
            <w:r>
              <w:rPr>
                <w:rFonts w:ascii="Times New Roman" w:cs="Times New Roman" w:eastAsia="Times New Roman" w:hAnsi="Times New Roman"/>
                <w:sz w:val="14"/>
                <w:szCs w:val="14"/>
                <w:color w:val="auto"/>
              </w:rPr>
              <w:t>F-1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57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of Serve Robotics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20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Serve Robotics Inc. (the “Company”) as of December 31, 2024 and 2023, the related consolidated statements of operations,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2024 and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ind w:right="3980"/>
        <w:spacing w:after="0" w:line="253"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9" w:lineRule="exact"/>
        <w:rPr>
          <w:sz w:val="20"/>
          <w:szCs w:val="20"/>
          <w:color w:val="auto"/>
        </w:rPr>
      </w:pPr>
    </w:p>
    <w:p>
      <w:pPr>
        <w:ind w:right="4000"/>
        <w:spacing w:after="0" w:line="253"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dbbmckennon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Newport Beach,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6, 2025</w:t>
      </w: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25" w:right="6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7220" w:type="dxa"/>
            <w:vAlign w:val="bottom"/>
          </w:tcPr>
          <w:p>
            <w:pPr>
              <w:jc w:val="center"/>
              <w:ind w:left="1989"/>
              <w:spacing w:after="0"/>
              <w:rPr>
                <w:sz w:val="20"/>
                <w:szCs w:val="20"/>
                <w:color w:val="auto"/>
              </w:rPr>
            </w:pPr>
            <w:r>
              <w:rPr>
                <w:rFonts w:ascii="Times New Roman" w:cs="Times New Roman" w:eastAsia="Times New Roman" w:hAnsi="Times New Roman"/>
                <w:sz w:val="14"/>
                <w:szCs w:val="14"/>
                <w:b w:val="1"/>
                <w:bCs w:val="1"/>
                <w:color w:val="auto"/>
              </w:rPr>
              <w:t>Serve Robotics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7220" w:type="dxa"/>
            <w:vAlign w:val="bottom"/>
          </w:tcPr>
          <w:p>
            <w:pPr>
              <w:jc w:val="center"/>
              <w:ind w:left="198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5"/>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123,266,437</w:t>
            </w:r>
          </w:p>
        </w:tc>
        <w:tc>
          <w:tcPr>
            <w:tcW w:w="10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0" w:type="dxa"/>
            <w:vAlign w:val="bottom"/>
          </w:tcPr>
          <w:p>
            <w:pPr>
              <w:spacing w:after="0"/>
              <w:rPr>
                <w:sz w:val="1"/>
                <w:szCs w:val="1"/>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774,349</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676,969</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125,251,470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1,461,029</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11,963,461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48,422</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1,807,705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782,439</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Security deposits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578,237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512,659</w:t>
            </w:r>
          </w:p>
        </w:tc>
        <w:tc>
          <w:tcPr>
            <w:tcW w:w="0" w:type="dxa"/>
            <w:vAlign w:val="bottom"/>
          </w:tcPr>
          <w:p>
            <w:pPr>
              <w:spacing w:after="0"/>
              <w:rPr>
                <w:sz w:val="1"/>
                <w:szCs w:val="1"/>
                <w:color w:val="auto"/>
              </w:rPr>
            </w:pPr>
          </w:p>
        </w:tc>
      </w:tr>
      <w:tr>
        <w:trPr>
          <w:trHeight w:val="227"/>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139,600,873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2,804,549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00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2,050,605</w:t>
            </w:r>
          </w:p>
        </w:tc>
        <w:tc>
          <w:tcPr>
            <w:tcW w:w="0" w:type="dxa"/>
            <w:vAlign w:val="bottom"/>
          </w:tcPr>
          <w:p>
            <w:pPr>
              <w:spacing w:after="0"/>
              <w:rPr>
                <w:sz w:val="1"/>
                <w:szCs w:val="1"/>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255,849</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Note payable, current</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payable - related party</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496,963</w:t>
            </w:r>
          </w:p>
        </w:tc>
        <w:tc>
          <w:tcPr>
            <w:tcW w:w="0" w:type="dxa"/>
            <w:vAlign w:val="bottom"/>
          </w:tcPr>
          <w:p>
            <w:pPr>
              <w:spacing w:after="0"/>
              <w:rPr>
                <w:sz w:val="1"/>
                <w:szCs w:val="1"/>
                <w:color w:val="auto"/>
              </w:rPr>
            </w:pPr>
          </w:p>
        </w:tc>
      </w:tr>
      <w:tr>
        <w:trPr>
          <w:trHeight w:val="208"/>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lease liabilities, current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564,383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2,363,807</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6,806,747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6,237,224</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payable, net of current portion</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230,933</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award liability</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158,617</w:t>
            </w:r>
          </w:p>
        </w:tc>
        <w:tc>
          <w:tcPr>
            <w:tcW w:w="0" w:type="dxa"/>
            <w:vAlign w:val="bottom"/>
          </w:tcPr>
          <w:p>
            <w:pPr>
              <w:spacing w:after="0"/>
              <w:rPr>
                <w:sz w:val="1"/>
                <w:szCs w:val="1"/>
                <w:color w:val="auto"/>
              </w:rPr>
            </w:pPr>
          </w:p>
        </w:tc>
      </w:tr>
      <w:tr>
        <w:trPr>
          <w:trHeight w:val="20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1,113,212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211,181</w:t>
            </w:r>
          </w:p>
        </w:tc>
        <w:tc>
          <w:tcPr>
            <w:tcW w:w="0" w:type="dxa"/>
            <w:vAlign w:val="bottom"/>
          </w:tcPr>
          <w:p>
            <w:pPr>
              <w:spacing w:after="0"/>
              <w:rPr>
                <w:sz w:val="1"/>
                <w:szCs w:val="1"/>
                <w:color w:val="auto"/>
              </w:rPr>
            </w:pPr>
          </w:p>
        </w:tc>
      </w:tr>
      <w:tr>
        <w:trPr>
          <w:trHeight w:val="196"/>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7,919,959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6,837,955</w:t>
            </w:r>
          </w:p>
        </w:tc>
        <w:tc>
          <w:tcPr>
            <w:tcW w:w="0" w:type="dxa"/>
            <w:vAlign w:val="bottom"/>
          </w:tcPr>
          <w:p>
            <w:pPr>
              <w:spacing w:after="0"/>
              <w:rPr>
                <w:sz w:val="1"/>
                <w:szCs w:val="1"/>
                <w:color w:val="auto"/>
              </w:rPr>
            </w:pPr>
          </w:p>
        </w:tc>
      </w:tr>
      <w:tr>
        <w:trPr>
          <w:trHeight w:val="165"/>
        </w:trPr>
        <w:tc>
          <w:tcPr>
            <w:tcW w:w="8220" w:type="dxa"/>
            <w:vAlign w:val="bottom"/>
            <w:gridSpan w:val="2"/>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220" w:type="dxa"/>
            <w:vAlign w:val="bottom"/>
            <w:gridSpan w:val="2"/>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or outstanding as of December 31, 2024 and 2023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$0.0001 par value; 300,000,000 shares authorized, 51,396,574 and 24,832,814 shares issued and 51,288,566 and 24,508,795</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shares outstanding as of December 31, 2024 and 2023, respectively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239,201,220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64,468,141</w:t>
            </w:r>
          </w:p>
        </w:tc>
        <w:tc>
          <w:tcPr>
            <w:tcW w:w="0" w:type="dxa"/>
            <w:vAlign w:val="bottom"/>
          </w:tcPr>
          <w:p>
            <w:pPr>
              <w:spacing w:after="0"/>
              <w:rPr>
                <w:sz w:val="1"/>
                <w:szCs w:val="1"/>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Subscription receivable</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(169,616)</w:t>
            </w:r>
          </w:p>
        </w:tc>
        <w:tc>
          <w:tcPr>
            <w:tcW w:w="0" w:type="dxa"/>
            <w:vAlign w:val="bottom"/>
          </w:tcPr>
          <w:p>
            <w:pPr>
              <w:spacing w:after="0"/>
              <w:rPr>
                <w:sz w:val="1"/>
                <w:szCs w:val="1"/>
                <w:color w:val="auto"/>
              </w:rPr>
            </w:pPr>
          </w:p>
        </w:tc>
      </w:tr>
      <w:tr>
        <w:trPr>
          <w:trHeight w:val="208"/>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(107,525,433)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(68,334,381)</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131,680,914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(4,033,406)</w:t>
            </w:r>
          </w:p>
        </w:tc>
        <w:tc>
          <w:tcPr>
            <w:tcW w:w="0" w:type="dxa"/>
            <w:vAlign w:val="bottom"/>
          </w:tcPr>
          <w:p>
            <w:pPr>
              <w:spacing w:after="0"/>
              <w:rPr>
                <w:sz w:val="1"/>
                <w:szCs w:val="1"/>
                <w:color w:val="auto"/>
              </w:rPr>
            </w:pPr>
          </w:p>
        </w:tc>
      </w:tr>
      <w:tr>
        <w:trPr>
          <w:trHeight w:val="227"/>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139,600,873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2,804,549</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bottom w:val="single" w:sz="8" w:color="CCEEFF"/>
            </w:tcBorders>
            <w:vMerge w:val="restart"/>
          </w:tcPr>
          <w:p>
            <w:pPr>
              <w:jc w:val="center"/>
              <w:ind w:left="2009"/>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00" w:type="dxa"/>
            <w:vAlign w:val="bottom"/>
          </w:tcPr>
          <w:p>
            <w:pPr>
              <w:spacing w:after="0"/>
              <w:rPr>
                <w:sz w:val="17"/>
                <w:szCs w:val="17"/>
                <w:color w:val="auto"/>
              </w:rPr>
            </w:pPr>
          </w:p>
        </w:tc>
        <w:tc>
          <w:tcPr>
            <w:tcW w:w="7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000" w:type="dxa"/>
            <w:vAlign w:val="bottom"/>
          </w:tcPr>
          <w:p>
            <w:pPr>
              <w:spacing w:after="0"/>
              <w:rPr>
                <w:sz w:val="24"/>
                <w:szCs w:val="24"/>
                <w:color w:val="auto"/>
              </w:rPr>
            </w:pPr>
          </w:p>
        </w:tc>
        <w:tc>
          <w:tcPr>
            <w:tcW w:w="7220" w:type="dxa"/>
            <w:vAlign w:val="bottom"/>
          </w:tcPr>
          <w:p>
            <w:pPr>
              <w:jc w:val="center"/>
              <w:ind w:left="1989"/>
              <w:spacing w:after="0"/>
              <w:rPr>
                <w:sz w:val="20"/>
                <w:szCs w:val="20"/>
                <w:color w:val="auto"/>
              </w:rPr>
            </w:pPr>
            <w:r>
              <w:rPr>
                <w:rFonts w:ascii="Times New Roman" w:cs="Times New Roman" w:eastAsia="Times New Roman" w:hAnsi="Times New Roman"/>
                <w:sz w:val="14"/>
                <w:szCs w:val="14"/>
                <w:color w:val="auto"/>
              </w:rPr>
              <w:t>F-3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7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3100" w:type="dxa"/>
            <w:vAlign w:val="bottom"/>
          </w:tcPr>
          <w:p>
            <w:pPr>
              <w:spacing w:after="0"/>
              <w:rPr>
                <w:sz w:val="24"/>
                <w:szCs w:val="24"/>
                <w:color w:val="auto"/>
              </w:rPr>
            </w:pPr>
          </w:p>
        </w:tc>
        <w:tc>
          <w:tcPr>
            <w:tcW w:w="4460" w:type="dxa"/>
            <w:vAlign w:val="bottom"/>
            <w:gridSpan w:val="2"/>
          </w:tcPr>
          <w:p>
            <w:pPr>
              <w:jc w:val="right"/>
              <w:ind w:right="2340"/>
              <w:spacing w:after="0"/>
              <w:rPr>
                <w:sz w:val="20"/>
                <w:szCs w:val="20"/>
                <w:color w:val="auto"/>
              </w:rPr>
            </w:pPr>
            <w:r>
              <w:rPr>
                <w:rFonts w:ascii="Times New Roman" w:cs="Times New Roman" w:eastAsia="Times New Roman" w:hAnsi="Times New Roman"/>
                <w:sz w:val="14"/>
                <w:szCs w:val="14"/>
                <w:b w:val="1"/>
                <w:bCs w:val="1"/>
                <w:color w:val="auto"/>
              </w:rPr>
              <w:t>Serve Robotics Inc.</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10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460" w:type="dxa"/>
            <w:vAlign w:val="bottom"/>
            <w:gridSpan w:val="2"/>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0"/>
        </w:trPr>
        <w:tc>
          <w:tcPr>
            <w:tcW w:w="10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ind w:right="129"/>
              <w:spacing w:after="0" w:line="15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r>
      <w:tr>
        <w:trPr>
          <w:trHeight w:val="192"/>
        </w:trPr>
        <w:tc>
          <w:tcPr>
            <w:tcW w:w="10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03"/>
        </w:trPr>
        <w:tc>
          <w:tcPr>
            <w:tcW w:w="10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10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1,812,483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207,545</w:t>
            </w:r>
          </w:p>
        </w:tc>
      </w:tr>
      <w:tr>
        <w:trPr>
          <w:trHeight w:val="203"/>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4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1,887,639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1,730,262</w:t>
            </w:r>
          </w:p>
        </w:tc>
      </w:tr>
      <w:tr>
        <w:trPr>
          <w:trHeight w:val="202"/>
        </w:trPr>
        <w:tc>
          <w:tcPr>
            <w:tcW w:w="4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Gross loss</w:t>
            </w:r>
          </w:p>
        </w:tc>
        <w:tc>
          <w:tcPr>
            <w:tcW w:w="4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(1,522,717)</w:t>
            </w:r>
          </w:p>
        </w:tc>
      </w:tr>
      <w:tr>
        <w:trPr>
          <w:trHeight w:val="202"/>
        </w:trPr>
        <w:tc>
          <w:tcPr>
            <w:tcW w:w="4100" w:type="dxa"/>
            <w:vAlign w:val="bottom"/>
            <w:gridSpan w:val="2"/>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10,092,911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4,618,499</w:t>
            </w:r>
          </w:p>
        </w:tc>
      </w:tr>
      <w:tr>
        <w:trPr>
          <w:trHeight w:val="207"/>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3,288,779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2,564,930</w:t>
            </w:r>
          </w:p>
        </w:tc>
      </w:tr>
      <w:tr>
        <w:trPr>
          <w:trHeight w:val="196"/>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24,255,023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9,947,258</w:t>
            </w:r>
          </w:p>
        </w:tc>
      </w:tr>
      <w:tr>
        <w:trPr>
          <w:trHeight w:val="207"/>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605,205</w:t>
            </w:r>
          </w:p>
        </w:tc>
      </w:tr>
      <w:tr>
        <w:trPr>
          <w:trHeight w:val="203"/>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1,468,995</w:t>
            </w:r>
          </w:p>
        </w:tc>
      </w:tr>
      <w:tr>
        <w:trPr>
          <w:trHeight w:val="202"/>
        </w:trPr>
        <w:tc>
          <w:tcPr>
            <w:tcW w:w="410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38,213,788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19,204,887</w:t>
            </w:r>
          </w:p>
        </w:tc>
      </w:tr>
      <w:tr>
        <w:trPr>
          <w:trHeight w:val="202"/>
        </w:trPr>
        <w:tc>
          <w:tcPr>
            <w:tcW w:w="4100" w:type="dxa"/>
            <w:vAlign w:val="bottom"/>
            <w:gridSpan w:val="2"/>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4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(38,288,944)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(20,727,604)</w:t>
            </w:r>
          </w:p>
        </w:tc>
      </w:tr>
      <w:tr>
        <w:trPr>
          <w:trHeight w:val="202"/>
        </w:trPr>
        <w:tc>
          <w:tcPr>
            <w:tcW w:w="4100" w:type="dxa"/>
            <w:vAlign w:val="bottom"/>
            <w:gridSpan w:val="2"/>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(680,548)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(2,264,426)</w:t>
            </w:r>
          </w:p>
        </w:tc>
      </w:tr>
      <w:tr>
        <w:trPr>
          <w:trHeight w:val="207"/>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(149,000)</w:t>
            </w:r>
          </w:p>
        </w:tc>
      </w:tr>
      <w:tr>
        <w:trPr>
          <w:trHeight w:val="203"/>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(1,672,706)</w:t>
            </w:r>
          </w:p>
        </w:tc>
      </w:tr>
      <w:tr>
        <w:trPr>
          <w:trHeight w:val="202"/>
        </w:trPr>
        <w:tc>
          <w:tcPr>
            <w:tcW w:w="410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4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(902,108)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(4,086,132)</w:t>
            </w:r>
          </w:p>
        </w:tc>
      </w:tr>
      <w:tr>
        <w:trPr>
          <w:trHeight w:val="202"/>
        </w:trPr>
        <w:tc>
          <w:tcPr>
            <w:tcW w:w="4100" w:type="dxa"/>
            <w:vAlign w:val="bottom"/>
            <w:gridSpan w:val="2"/>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(39,191,052)</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(24,813,736)</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10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3"/>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 and diluted</w:t>
            </w:r>
          </w:p>
        </w:tc>
        <w:tc>
          <w:tcPr>
            <w:tcW w:w="4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36,658,834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14,204,078</w:t>
            </w:r>
          </w:p>
        </w:tc>
      </w:tr>
      <w:tr>
        <w:trPr>
          <w:trHeight w:val="222"/>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common share - basic and diluted</w:t>
            </w:r>
          </w:p>
        </w:tc>
        <w:tc>
          <w:tcPr>
            <w:tcW w:w="4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(Deficit)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640" w:type="dxa"/>
            <w:vAlign w:val="bottom"/>
          </w:tcPr>
          <w:p>
            <w:pPr>
              <w:spacing w:after="0"/>
              <w:rPr>
                <w:sz w:val="7"/>
                <w:szCs w:val="7"/>
                <w:color w:val="auto"/>
              </w:rPr>
            </w:pPr>
          </w:p>
        </w:tc>
        <w:tc>
          <w:tcPr>
            <w:tcW w:w="940" w:type="dxa"/>
            <w:vAlign w:val="bottom"/>
            <w:gridSpan w:val="3"/>
          </w:tcPr>
          <w:p>
            <w:pPr>
              <w:jc w:val="right"/>
              <w:ind w:right="98"/>
              <w:spacing w:after="0"/>
              <w:rPr>
                <w:sz w:val="20"/>
                <w:szCs w:val="20"/>
                <w:color w:val="auto"/>
              </w:rPr>
            </w:pPr>
            <w:r>
              <w:rPr>
                <w:rFonts w:ascii="Times New Roman" w:cs="Times New Roman" w:eastAsia="Times New Roman" w:hAnsi="Times New Roman"/>
                <w:sz w:val="8"/>
                <w:szCs w:val="8"/>
                <w:b w:val="1"/>
                <w:bCs w:val="1"/>
                <w:color w:val="auto"/>
              </w:rPr>
              <w:t>Series Seed</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5"/>
          </w:tcPr>
          <w:p>
            <w:pPr>
              <w:ind w:left="360"/>
              <w:spacing w:after="0"/>
              <w:rPr>
                <w:sz w:val="20"/>
                <w:szCs w:val="20"/>
                <w:color w:val="auto"/>
              </w:rPr>
            </w:pPr>
            <w:r>
              <w:rPr>
                <w:rFonts w:ascii="Times New Roman" w:cs="Times New Roman" w:eastAsia="Times New Roman" w:hAnsi="Times New Roman"/>
                <w:sz w:val="8"/>
                <w:szCs w:val="8"/>
                <w:b w:val="1"/>
                <w:bCs w:val="1"/>
                <w:color w:val="auto"/>
              </w:rPr>
              <w:t>Series Seed-1</w:t>
            </w:r>
          </w:p>
        </w:tc>
        <w:tc>
          <w:tcPr>
            <w:tcW w:w="1240" w:type="dxa"/>
            <w:vAlign w:val="bottom"/>
            <w:gridSpan w:val="5"/>
          </w:tcPr>
          <w:p>
            <w:pPr>
              <w:ind w:left="340"/>
              <w:spacing w:after="0"/>
              <w:rPr>
                <w:sz w:val="20"/>
                <w:szCs w:val="20"/>
                <w:color w:val="auto"/>
              </w:rPr>
            </w:pPr>
            <w:r>
              <w:rPr>
                <w:rFonts w:ascii="Times New Roman" w:cs="Times New Roman" w:eastAsia="Times New Roman" w:hAnsi="Times New Roman"/>
                <w:sz w:val="8"/>
                <w:szCs w:val="8"/>
                <w:b w:val="1"/>
                <w:bCs w:val="1"/>
                <w:color w:val="auto"/>
              </w:rPr>
              <w:t>Series Seed-2</w:t>
            </w:r>
          </w:p>
        </w:tc>
        <w:tc>
          <w:tcPr>
            <w:tcW w:w="1260" w:type="dxa"/>
            <w:vAlign w:val="bottom"/>
            <w:gridSpan w:val="5"/>
          </w:tcPr>
          <w:p>
            <w:pPr>
              <w:ind w:left="360"/>
              <w:spacing w:after="0"/>
              <w:rPr>
                <w:sz w:val="20"/>
                <w:szCs w:val="20"/>
                <w:color w:val="auto"/>
              </w:rPr>
            </w:pPr>
            <w:r>
              <w:rPr>
                <w:rFonts w:ascii="Times New Roman" w:cs="Times New Roman" w:eastAsia="Times New Roman" w:hAnsi="Times New Roman"/>
                <w:sz w:val="8"/>
                <w:szCs w:val="8"/>
                <w:b w:val="1"/>
                <w:bCs w:val="1"/>
                <w:color w:val="auto"/>
              </w:rPr>
              <w:t>Series Seed-3</w:t>
            </w:r>
          </w:p>
        </w:tc>
        <w:tc>
          <w:tcPr>
            <w:tcW w:w="1200" w:type="dxa"/>
            <w:vAlign w:val="bottom"/>
            <w:gridSpan w:val="4"/>
            <w:vMerge w:val="restart"/>
          </w:tcPr>
          <w:p>
            <w:pPr>
              <w:jc w:val="right"/>
              <w:ind w:right="278"/>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6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64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2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80" w:type="dxa"/>
            <w:vAlign w:val="bottom"/>
          </w:tcPr>
          <w:p>
            <w:pPr>
              <w:spacing w:after="0"/>
              <w:rPr>
                <w:sz w:val="12"/>
                <w:szCs w:val="12"/>
                <w:color w:val="auto"/>
              </w:rPr>
            </w:pPr>
          </w:p>
        </w:tc>
        <w:tc>
          <w:tcPr>
            <w:tcW w:w="1180" w:type="dxa"/>
            <w:vAlign w:val="bottom"/>
            <w:tcBorders>
              <w:bottom w:val="single" w:sz="8" w:color="auto"/>
            </w:tcBorders>
            <w:gridSpan w:val="4"/>
          </w:tcPr>
          <w:p>
            <w:pPr>
              <w:jc w:val="right"/>
              <w:ind w:right="258"/>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60" w:type="dxa"/>
            <w:vAlign w:val="bottom"/>
          </w:tcPr>
          <w:p>
            <w:pPr>
              <w:spacing w:after="0"/>
              <w:rPr>
                <w:sz w:val="12"/>
                <w:szCs w:val="12"/>
                <w:color w:val="auto"/>
              </w:rPr>
            </w:pPr>
          </w:p>
        </w:tc>
        <w:tc>
          <w:tcPr>
            <w:tcW w:w="1200" w:type="dxa"/>
            <w:vAlign w:val="bottom"/>
            <w:tcBorders>
              <w:bottom w:val="single" w:sz="8" w:color="auto"/>
            </w:tcBorders>
            <w:gridSpan w:val="4"/>
          </w:tcPr>
          <w:p>
            <w:pPr>
              <w:jc w:val="right"/>
              <w:ind w:right="258"/>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60" w:type="dxa"/>
            <w:vAlign w:val="bottom"/>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Additional Paid-in</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Subscription</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12"/>
                <w:szCs w:val="12"/>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Total Stockholders’</w:t>
            </w: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8"/>
                <w:szCs w:val="8"/>
                <w:b w:val="1"/>
                <w:bCs w:val="1"/>
                <w:color w:val="auto"/>
              </w:rPr>
              <w:t>Amount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tcPr>
          <w:p>
            <w:pPr>
              <w:spacing w:after="0"/>
              <w:rPr>
                <w:sz w:val="11"/>
                <w:szCs w:val="11"/>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Amount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Pr>
          <w:p>
            <w:pPr>
              <w:spacing w:after="0"/>
              <w:rPr>
                <w:sz w:val="11"/>
                <w:szCs w:val="11"/>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Amount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tcPr>
          <w:p>
            <w:pPr>
              <w:spacing w:after="0"/>
              <w:rPr>
                <w:sz w:val="11"/>
                <w:szCs w:val="11"/>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Amount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tcPr>
          <w:p>
            <w:pPr>
              <w:spacing w:after="0"/>
              <w:rPr>
                <w:sz w:val="11"/>
                <w:szCs w:val="11"/>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Amount</w:t>
            </w:r>
          </w:p>
        </w:tc>
        <w:tc>
          <w:tcPr>
            <w:tcW w:w="60" w:type="dxa"/>
            <w:vAlign w:val="bottom"/>
          </w:tcPr>
          <w:p>
            <w:pPr>
              <w:spacing w:after="0"/>
              <w:rPr>
                <w:sz w:val="11"/>
                <w:szCs w:val="11"/>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0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Receivable</w:t>
            </w:r>
          </w:p>
        </w:tc>
        <w:tc>
          <w:tcPr>
            <w:tcW w:w="120" w:type="dxa"/>
            <w:vAlign w:val="bottom"/>
          </w:tcPr>
          <w:p>
            <w:pPr>
              <w:spacing w:after="0"/>
              <w:rPr>
                <w:sz w:val="11"/>
                <w:szCs w:val="11"/>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60" w:type="dxa"/>
            <w:vAlign w:val="bottom"/>
          </w:tcPr>
          <w:p>
            <w:pPr>
              <w:spacing w:after="0"/>
              <w:rPr>
                <w:sz w:val="11"/>
                <w:szCs w:val="11"/>
                <w:color w:val="auto"/>
              </w:rPr>
            </w:pPr>
          </w:p>
        </w:tc>
        <w:tc>
          <w:tcPr>
            <w:tcW w:w="76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Equity (Deficit)</w:t>
            </w:r>
          </w:p>
        </w:tc>
        <w:tc>
          <w:tcPr>
            <w:tcW w:w="0" w:type="dxa"/>
            <w:vAlign w:val="bottom"/>
          </w:tcPr>
          <w:p>
            <w:pPr>
              <w:spacing w:after="0"/>
              <w:rPr>
                <w:sz w:val="1"/>
                <w:szCs w:val="1"/>
                <w:color w:val="auto"/>
              </w:rPr>
            </w:pPr>
          </w:p>
        </w:tc>
      </w:tr>
      <w:tr>
        <w:trPr>
          <w:trHeight w:val="138"/>
        </w:trPr>
        <w:tc>
          <w:tcPr>
            <w:tcW w:w="1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Balances at December 31, 2022</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3,091,672</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9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309</w:t>
            </w: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2,440,411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244</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2,088,696</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w:t>
            </w: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357,836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w:t>
            </w: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6,826,352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683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31,232,737</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(165,719)</w:t>
            </w: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(43,520,645)</w:t>
            </w: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(12,452,146)</w:t>
            </w:r>
          </w:p>
        </w:tc>
        <w:tc>
          <w:tcPr>
            <w:tcW w:w="0" w:type="dxa"/>
            <w:vAlign w:val="bottom"/>
          </w:tcPr>
          <w:p>
            <w:pPr>
              <w:spacing w:after="0"/>
              <w:rPr>
                <w:sz w:val="1"/>
                <w:szCs w:val="1"/>
                <w:color w:val="auto"/>
              </w:rPr>
            </w:pPr>
          </w:p>
        </w:tc>
      </w:tr>
      <w:tr>
        <w:trPr>
          <w:trHeight w:val="107"/>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Issuance of common stock pursuant to private</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placement</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3,040,140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12,160,256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12,160,560</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Conversion of convertible note and derivative</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into common stock in connection with</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Merger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937,961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3,751,781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3,751,875</w:t>
            </w:r>
          </w:p>
        </w:tc>
        <w:tc>
          <w:tcPr>
            <w:tcW w:w="0" w:type="dxa"/>
            <w:vAlign w:val="bottom"/>
          </w:tcPr>
          <w:p>
            <w:pPr>
              <w:spacing w:after="0"/>
              <w:rPr>
                <w:sz w:val="1"/>
                <w:szCs w:val="1"/>
                <w:color w:val="auto"/>
              </w:rPr>
            </w:pPr>
          </w:p>
        </w:tc>
      </w:tr>
      <w:tr>
        <w:trPr>
          <w:trHeight w:val="107"/>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Conversion of SAFEs into common stock in</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connection with Merger</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4,372,601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17,489,967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17,490,404</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Conversion of preferred stock into common</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stock in connection with Merger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(3,091,672)</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(309)</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(2,440,411)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(2,088,696)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(357,836)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7,978,616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798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7"/>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Patricia shares converted into common 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upon the Merger</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1,500,000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Issuance of common stock pursuant to private</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placement offering, net of offering costs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143,531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574,110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574,124</w:t>
            </w:r>
          </w:p>
        </w:tc>
        <w:tc>
          <w:tcPr>
            <w:tcW w:w="0" w:type="dxa"/>
            <w:vAlign w:val="bottom"/>
          </w:tcPr>
          <w:p>
            <w:pPr>
              <w:spacing w:after="0"/>
              <w:rPr>
                <w:sz w:val="1"/>
                <w:szCs w:val="1"/>
                <w:color w:val="auto"/>
              </w:rPr>
            </w:pPr>
          </w:p>
        </w:tc>
      </w:tr>
      <w:tr>
        <w:trPr>
          <w:trHeight w:val="107"/>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Vested restricted stock purchased with</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recourse notes</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11,194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13,735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(3,897)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9,838</w:t>
            </w:r>
          </w:p>
        </w:tc>
        <w:tc>
          <w:tcPr>
            <w:tcW w:w="0" w:type="dxa"/>
            <w:vAlign w:val="bottom"/>
          </w:tcPr>
          <w:p>
            <w:pPr>
              <w:spacing w:after="0"/>
              <w:rPr>
                <w:sz w:val="1"/>
                <w:szCs w:val="1"/>
                <w:color w:val="auto"/>
              </w:rPr>
            </w:pPr>
          </w:p>
        </w:tc>
      </w:tr>
      <w:tr>
        <w:trPr>
          <w:trHeight w:val="14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Restricted stock awards repurchased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(319,118)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29"/>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Warrants issued with convertible note</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991,000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991,000</w:t>
            </w:r>
          </w:p>
        </w:tc>
        <w:tc>
          <w:tcPr>
            <w:tcW w:w="0" w:type="dxa"/>
            <w:vAlign w:val="bottom"/>
          </w:tcPr>
          <w:p>
            <w:pPr>
              <w:spacing w:after="0"/>
              <w:rPr>
                <w:sz w:val="1"/>
                <w:szCs w:val="1"/>
                <w:color w:val="auto"/>
              </w:rPr>
            </w:pPr>
          </w:p>
        </w:tc>
      </w:tr>
      <w:tr>
        <w:trPr>
          <w:trHeight w:val="14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Exercise of warrants upon the Merger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17,518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9"/>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Stock-based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544,375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544,375</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Offering costs consists in connection with</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issuance of common stock pursuant to</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Merger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(2,289,697)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(2,289,697)</w:t>
            </w:r>
          </w:p>
        </w:tc>
        <w:tc>
          <w:tcPr>
            <w:tcW w:w="0" w:type="dxa"/>
            <w:vAlign w:val="bottom"/>
          </w:tcPr>
          <w:p>
            <w:pPr>
              <w:spacing w:after="0"/>
              <w:rPr>
                <w:sz w:val="1"/>
                <w:szCs w:val="1"/>
                <w:color w:val="auto"/>
              </w:rPr>
            </w:pPr>
          </w:p>
        </w:tc>
      </w:tr>
      <w:tr>
        <w:trPr>
          <w:trHeight w:val="139"/>
        </w:trPr>
        <w:tc>
          <w:tcPr>
            <w:tcW w:w="1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8"/>
                <w:szCs w:val="8"/>
                <w:color w:val="auto"/>
              </w:rPr>
              <w:t>Net loss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(24,813,736)</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(24,813,736)</w:t>
            </w:r>
          </w:p>
        </w:tc>
        <w:tc>
          <w:tcPr>
            <w:tcW w:w="0" w:type="dxa"/>
            <w:vAlign w:val="bottom"/>
          </w:tcPr>
          <w:p>
            <w:pPr>
              <w:spacing w:after="0"/>
              <w:rPr>
                <w:sz w:val="1"/>
                <w:szCs w:val="1"/>
                <w:color w:val="auto"/>
              </w:rPr>
            </w:pPr>
          </w:p>
        </w:tc>
      </w:tr>
      <w:tr>
        <w:trPr>
          <w:trHeight w:val="138"/>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Balances at December 31, 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9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24,508,795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64,468,141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(169,616)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(68,334,381)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(4,033,406)</w:t>
            </w:r>
          </w:p>
        </w:tc>
        <w:tc>
          <w:tcPr>
            <w:tcW w:w="0" w:type="dxa"/>
            <w:vAlign w:val="bottom"/>
          </w:tcPr>
          <w:p>
            <w:pPr>
              <w:spacing w:after="0"/>
              <w:rPr>
                <w:sz w:val="1"/>
                <w:szCs w:val="1"/>
                <w:color w:val="auto"/>
              </w:rPr>
            </w:pPr>
          </w:p>
        </w:tc>
      </w:tr>
      <w:tr>
        <w:trPr>
          <w:trHeight w:val="107"/>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Issuance of common stock pursuant to</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offering</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10,000,000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39,999,000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40,000,000</w:t>
            </w:r>
          </w:p>
        </w:tc>
        <w:tc>
          <w:tcPr>
            <w:tcW w:w="0" w:type="dxa"/>
            <w:vAlign w:val="bottom"/>
          </w:tcPr>
          <w:p>
            <w:pPr>
              <w:spacing w:after="0"/>
              <w:rPr>
                <w:sz w:val="1"/>
                <w:szCs w:val="1"/>
                <w:color w:val="auto"/>
              </w:rPr>
            </w:pPr>
          </w:p>
        </w:tc>
      </w:tr>
      <w:tr>
        <w:trPr>
          <w:trHeight w:val="14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Offering costs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(4,150,864)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(4,150,864)</w:t>
            </w:r>
          </w:p>
        </w:tc>
        <w:tc>
          <w:tcPr>
            <w:tcW w:w="0" w:type="dxa"/>
            <w:vAlign w:val="bottom"/>
          </w:tcPr>
          <w:p>
            <w:pPr>
              <w:spacing w:after="0"/>
              <w:rPr>
                <w:sz w:val="1"/>
                <w:szCs w:val="1"/>
                <w:color w:val="auto"/>
              </w:rPr>
            </w:pPr>
          </w:p>
        </w:tc>
      </w:tr>
      <w:tr>
        <w:trPr>
          <w:trHeight w:val="107"/>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Conversion of convertible note and derivative</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6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liability into 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2,104,562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6,803,390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6,803,600</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Issuance of common stock under the Sales</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Agreement and Equity Distribution</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Agreement, net of offering costs</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5,698,992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77,595,423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77,595,993</w:t>
            </w:r>
          </w:p>
        </w:tc>
        <w:tc>
          <w:tcPr>
            <w:tcW w:w="0" w:type="dxa"/>
            <w:vAlign w:val="bottom"/>
          </w:tcPr>
          <w:p>
            <w:pPr>
              <w:spacing w:after="0"/>
              <w:rPr>
                <w:sz w:val="1"/>
                <w:szCs w:val="1"/>
                <w:color w:val="auto"/>
              </w:rPr>
            </w:pPr>
          </w:p>
        </w:tc>
      </w:tr>
      <w:tr>
        <w:trPr>
          <w:trHeight w:val="129"/>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Restricted stock awards repurchased</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(233,208)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4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Interest on recourse loan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3,987</w:t>
            </w:r>
          </w:p>
        </w:tc>
        <w:tc>
          <w:tcPr>
            <w:tcW w:w="0" w:type="dxa"/>
            <w:vAlign w:val="bottom"/>
          </w:tcPr>
          <w:p>
            <w:pPr>
              <w:spacing w:after="0"/>
              <w:rPr>
                <w:sz w:val="1"/>
                <w:szCs w:val="1"/>
                <w:color w:val="auto"/>
              </w:rPr>
            </w:pPr>
          </w:p>
        </w:tc>
      </w:tr>
      <w:tr>
        <w:trPr>
          <w:trHeight w:val="129"/>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Interest and forgiveness on recourse loans</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165,629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165,629</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Issuance of pre-funded warrants to purchase</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common stock in connection with private</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placement, net of issuance costs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3,055,555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17,115,657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17,115,963</w:t>
            </w:r>
          </w:p>
        </w:tc>
        <w:tc>
          <w:tcPr>
            <w:tcW w:w="0" w:type="dxa"/>
            <w:vAlign w:val="bottom"/>
          </w:tcPr>
          <w:p>
            <w:pPr>
              <w:spacing w:after="0"/>
              <w:rPr>
                <w:sz w:val="1"/>
                <w:szCs w:val="1"/>
                <w:color w:val="auto"/>
              </w:rPr>
            </w:pPr>
          </w:p>
        </w:tc>
      </w:tr>
      <w:tr>
        <w:trPr>
          <w:trHeight w:val="129"/>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Vested restricted stock units</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377,284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4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Exercise of warrants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5,264,799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22,448,315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22,448,841</w:t>
            </w:r>
          </w:p>
        </w:tc>
        <w:tc>
          <w:tcPr>
            <w:tcW w:w="0" w:type="dxa"/>
            <w:vAlign w:val="bottom"/>
          </w:tcPr>
          <w:p>
            <w:pPr>
              <w:spacing w:after="0"/>
              <w:rPr>
                <w:sz w:val="1"/>
                <w:szCs w:val="1"/>
                <w:color w:val="auto"/>
              </w:rPr>
            </w:pPr>
          </w:p>
        </w:tc>
      </w:tr>
      <w:tr>
        <w:trPr>
          <w:trHeight w:val="129"/>
        </w:trPr>
        <w:tc>
          <w:tcPr>
            <w:tcW w:w="1640" w:type="dxa"/>
            <w:vAlign w:val="bottom"/>
          </w:tcPr>
          <w:p>
            <w:pPr>
              <w:ind w:left="60"/>
              <w:spacing w:after="0"/>
              <w:rPr>
                <w:sz w:val="20"/>
                <w:szCs w:val="20"/>
                <w:color w:val="auto"/>
              </w:rPr>
            </w:pPr>
            <w:r>
              <w:rPr>
                <w:rFonts w:ascii="Times New Roman" w:cs="Times New Roman" w:eastAsia="Times New Roman" w:hAnsi="Times New Roman"/>
                <w:sz w:val="8"/>
                <w:szCs w:val="8"/>
                <w:color w:val="auto"/>
              </w:rPr>
              <w:t>Exercise of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511,787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367,246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367,297</w:t>
            </w:r>
          </w:p>
        </w:tc>
        <w:tc>
          <w:tcPr>
            <w:tcW w:w="0" w:type="dxa"/>
            <w:vAlign w:val="bottom"/>
          </w:tcPr>
          <w:p>
            <w:pPr>
              <w:spacing w:after="0"/>
              <w:rPr>
                <w:sz w:val="1"/>
                <w:szCs w:val="1"/>
                <w:color w:val="auto"/>
              </w:rPr>
            </w:pPr>
          </w:p>
        </w:tc>
      </w:tr>
      <w:tr>
        <w:trPr>
          <w:trHeight w:val="147"/>
        </w:trPr>
        <w:tc>
          <w:tcPr>
            <w:tcW w:w="1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Stock-based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14,554,926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14,554,926</w:t>
            </w:r>
          </w:p>
        </w:tc>
        <w:tc>
          <w:tcPr>
            <w:tcW w:w="0" w:type="dxa"/>
            <w:vAlign w:val="bottom"/>
          </w:tcPr>
          <w:p>
            <w:pPr>
              <w:spacing w:after="0"/>
              <w:rPr>
                <w:sz w:val="1"/>
                <w:szCs w:val="1"/>
                <w:color w:val="auto"/>
              </w:rPr>
            </w:pPr>
          </w:p>
        </w:tc>
      </w:tr>
      <w:tr>
        <w:trPr>
          <w:trHeight w:val="139"/>
        </w:trPr>
        <w:tc>
          <w:tcPr>
            <w:tcW w:w="1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8"/>
                <w:szCs w:val="8"/>
                <w:color w:val="auto"/>
              </w:rPr>
              <w:t>Net loss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(39,191,052)</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(39,191,052)</w:t>
            </w:r>
          </w:p>
        </w:tc>
        <w:tc>
          <w:tcPr>
            <w:tcW w:w="0" w:type="dxa"/>
            <w:vAlign w:val="bottom"/>
          </w:tcPr>
          <w:p>
            <w:pPr>
              <w:spacing w:after="0"/>
              <w:rPr>
                <w:sz w:val="1"/>
                <w:szCs w:val="1"/>
                <w:color w:val="auto"/>
              </w:rPr>
            </w:pPr>
          </w:p>
        </w:tc>
      </w:tr>
      <w:tr>
        <w:trPr>
          <w:trHeight w:val="163"/>
        </w:trPr>
        <w:tc>
          <w:tcPr>
            <w:tcW w:w="1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Balances at December 31, 2024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9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51,288,566</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5,127</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239,201,220</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(107,525,433)</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131,680,914</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theseF -consolidated5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7220" w:type="dxa"/>
            <w:vAlign w:val="bottom"/>
          </w:tcPr>
          <w:p>
            <w:pPr>
              <w:jc w:val="center"/>
              <w:ind w:left="1989"/>
              <w:spacing w:after="0"/>
              <w:rPr>
                <w:sz w:val="20"/>
                <w:szCs w:val="20"/>
                <w:color w:val="auto"/>
              </w:rPr>
            </w:pPr>
            <w:r>
              <w:rPr>
                <w:rFonts w:ascii="Times New Roman" w:cs="Times New Roman" w:eastAsia="Times New Roman" w:hAnsi="Times New Roman"/>
                <w:sz w:val="14"/>
                <w:szCs w:val="14"/>
                <w:b w:val="1"/>
                <w:bCs w:val="1"/>
                <w:color w:val="auto"/>
              </w:rPr>
              <w:t>Serve Robotics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1000" w:type="dxa"/>
            <w:vAlign w:val="bottom"/>
          </w:tcPr>
          <w:p>
            <w:pPr>
              <w:spacing w:after="0"/>
              <w:rPr>
                <w:sz w:val="16"/>
                <w:szCs w:val="16"/>
                <w:color w:val="auto"/>
              </w:rPr>
            </w:pPr>
          </w:p>
        </w:tc>
        <w:tc>
          <w:tcPr>
            <w:tcW w:w="7220" w:type="dxa"/>
            <w:vAlign w:val="bottom"/>
          </w:tcPr>
          <w:p>
            <w:pPr>
              <w:jc w:val="center"/>
              <w:ind w:left="200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29"/>
        </w:trPr>
        <w:tc>
          <w:tcPr>
            <w:tcW w:w="10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24"/>
                <w:szCs w:val="24"/>
                <w:color w:val="auto"/>
              </w:rPr>
            </w:pPr>
          </w:p>
        </w:tc>
      </w:tr>
      <w:tr>
        <w:trPr>
          <w:trHeight w:val="192"/>
        </w:trPr>
        <w:tc>
          <w:tcPr>
            <w:tcW w:w="100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03"/>
        </w:trPr>
        <w:tc>
          <w:tcPr>
            <w:tcW w:w="1000" w:type="dxa"/>
            <w:vAlign w:val="bottom"/>
            <w:tcBorders>
              <w:bottom w:val="single" w:sz="8" w:color="CCEEFF"/>
            </w:tcBorders>
          </w:tcPr>
          <w:p>
            <w:pPr>
              <w:spacing w:after="0"/>
              <w:rPr>
                <w:sz w:val="17"/>
                <w:szCs w:val="17"/>
                <w:color w:val="auto"/>
              </w:rPr>
            </w:pPr>
          </w:p>
        </w:tc>
        <w:tc>
          <w:tcPr>
            <w:tcW w:w="7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(39,191,052)</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(24,813,736)</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309,712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1,863,924</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14,554,926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544,375</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1,677,942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1,811,798</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149,000</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fair value of simple agreements for future equity</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1,672,706</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1,468,995</w:t>
            </w:r>
          </w:p>
        </w:tc>
      </w:tr>
      <w:tr>
        <w:trPr>
          <w:trHeight w:val="196"/>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on recourse loan</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r>
      <w:tr>
        <w:trPr>
          <w:trHeight w:val="207"/>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6"/>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(83,850)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20,742</w:t>
            </w:r>
          </w:p>
        </w:tc>
      </w:tr>
      <w:tr>
        <w:trPr>
          <w:trHeight w:val="207"/>
        </w:trPr>
        <w:tc>
          <w:tcPr>
            <w:tcW w:w="8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(156,087)</w:t>
            </w:r>
          </w:p>
        </w:tc>
      </w:tr>
      <w:tr>
        <w:trPr>
          <w:trHeight w:val="196"/>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Prepaid expenses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(719,905)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(595,630)</w:t>
            </w:r>
          </w:p>
        </w:tc>
      </w:tr>
      <w:tr>
        <w:trPr>
          <w:trHeight w:val="207"/>
        </w:trPr>
        <w:tc>
          <w:tcPr>
            <w:tcW w:w="8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receivables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872,251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1,888,568</w:t>
            </w:r>
          </w:p>
        </w:tc>
      </w:tr>
      <w:tr>
        <w:trPr>
          <w:trHeight w:val="207"/>
        </w:trPr>
        <w:tc>
          <w:tcPr>
            <w:tcW w:w="8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228,020</w:t>
            </w:r>
          </w:p>
        </w:tc>
      </w:tr>
      <w:tr>
        <w:trPr>
          <w:trHeight w:val="196"/>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(49,656)</w:t>
            </w:r>
          </w:p>
        </w:tc>
      </w:tr>
      <w:tr>
        <w:trPr>
          <w:trHeight w:val="203"/>
        </w:trPr>
        <w:tc>
          <w:tcPr>
            <w:tcW w:w="82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(21,542,229)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(15,970,878)</w:t>
            </w: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(10,252,409)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r>
      <w:tr>
        <w:trPr>
          <w:trHeight w:val="20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deposits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(65,578)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(10,317,987)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(4,914)</w:t>
            </w: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pursuant to public offering, net of offering costs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35,849,136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prefunded warrants to purchase common stock in connection with private placement, net of issuance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17,115,963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the Sales Agreement and Equity Distribution Agreement, net of offering costs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77,595,993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22,448,841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convertible notes payable, net of offering costs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4,844,625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2,798,410</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options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note payable</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note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note payable, related party</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519,000</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notes payable, related party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(449,000)</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restricted common stock, net of repurchases</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 to Merger and private placement, net of offering cost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10,444,987</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simple agreement for future equity</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2,666,953</w:t>
            </w:r>
          </w:p>
        </w:tc>
      </w:tr>
      <w:tr>
        <w:trPr>
          <w:trHeight w:val="20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financing lease liability</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(1,781,958)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(1,713,518)</w:t>
            </w:r>
          </w:p>
        </w:tc>
      </w:tr>
      <w:tr>
        <w:trPr>
          <w:trHeight w:val="203"/>
        </w:trPr>
        <w:tc>
          <w:tcPr>
            <w:tcW w:w="82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155,119,897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13,266,829</w:t>
            </w: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123,259,681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(2,708,963)</w:t>
            </w:r>
          </w:p>
        </w:tc>
      </w:tr>
      <w:tr>
        <w:trPr>
          <w:trHeight w:val="203"/>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2,715,719</w:t>
            </w:r>
          </w:p>
        </w:tc>
      </w:tr>
      <w:tr>
        <w:trPr>
          <w:trHeight w:val="22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123,266,437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6,756</w:t>
            </w:r>
          </w:p>
        </w:tc>
      </w:tr>
      <w:tr>
        <w:trPr>
          <w:trHeight w:val="20"/>
        </w:trPr>
        <w:tc>
          <w:tcPr>
            <w:tcW w:w="82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507,193</w:t>
            </w:r>
          </w:p>
        </w:tc>
      </w:tr>
      <w:tr>
        <w:trPr>
          <w:trHeight w:val="212"/>
        </w:trPr>
        <w:tc>
          <w:tcPr>
            <w:tcW w:w="82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Conversion of convertible notes and derivative into common stock</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6,803,600</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3,751,875</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accrued but not paid</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1,972,341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for lease obligations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1,577,867</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liability in connection with convertible note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601,000</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discount issued as accrued liability</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63,840</w:t>
            </w:r>
          </w:p>
        </w:tc>
      </w:tr>
      <w:tr>
        <w:trPr>
          <w:trHeight w:val="207"/>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simple agreement for future equity into common stock</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17,490,404</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 issued in connection with note payable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991,000</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ectPr>
          <w:pgSz w:w="11900" w:h="16838" w:orient="portrait"/>
          <w:cols w:equalWidth="0" w:num="1">
            <w:col w:w="11280"/>
          </w:cols>
          <w:pgMar w:left="300" w:top="11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NATURE OF OPERATIONS, HISTORY, ORGANIZATION AND BUSINESS</w:t>
      </w:r>
    </w:p>
    <w:p>
      <w:pPr>
        <w:spacing w:after="0" w:line="18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Serve Operating Co. (formerly known as Serve Robotics Inc.) (the “Serve”) is a corporation formed on January 15, 2021 under the laws of the State of Delaware. The Company is developing next generation robots for last-mile delivery services. The Company is headquartered in Redwood City, California.</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July 31, 2023, a wholly-owned subsidiary of Patricia Acquisition Corp., a Delaware corporation incorporated on November 9, 2020 (“Patricia”), Serve Acquisition Corp., a corporation formed in the State of Delaware on July 10, 2023 (“Acquisition Sub”), merged with and into the Company. Pursuant to this transaction (the “Merger”), the Company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and all of its pre-Merger stockholders approved a restated certificate of incorporation, which was effective upon its filing with the Secretary of State of the State of Delaware on July 31, 2023, and through which Patricia changed its name to “Serve Robotics Inc.” (the "Company") Following the consummation of the Merger, Serve changed its name to “Serve Operating Co.”</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the Merger, Patricia acquired the business of Serve and will continue the existing business operations of Serve as a public reporting company under the name Serve Robotics Inc. In accordance with “reverse merger” or “reverse acquisition” accounting treatment, the Company was determined the accounting acquirer. Patricia’s historical financial statements before the Merger has been replaced with the historical financial statements of Serve before the Merger in filings with the SEC since the Merger unless otherwise noted.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Offering and Uplisting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17, 2024, the Company entered into an underwriting agreement (the “Underwriting Agreement”) with Aegis Capital Corp. (“Aegis”) in connection with the public offering of 10,000,000 shares of the Company’s common stock, par value $0.0001, at a public offering price of $4.00 per share (the “Offering”). The Company’s net proceeds from the Offering, after deducting the underwriting discount and other estimated offering expenses payable by the Company, were approximately $35.8 million. As a result of the Offering, the Company’s common stock was approved for listing on The Nasdaq Capital Market and commenced trading under the ticker symbol “SERV” beginning on April 18, 2024. See Note 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wholly-owned subsidiaries have been prepared in accordance with accounting principles generally accepted in the United States of America (“GAAP”). The Company’s fiscal year is December 31.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consolidated financial statements include the accounts of the Company and its wholly-owned subsidiaries, Serve Operating Co. and Serve Robotics Canada Inc. All inter-company transactions and balances have been eliminated on consolidation.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Going Concern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Total unrestricted cash and cash equivalents on hand as of December 31, 2024 was $123.27 million. Although the Company has incurred recurring losses each year since its inception, the Company expects it will be able to fund its operations for at least the next twelve months. We believe we will meet longer term expected future cash requirements and obligations through a combination of cash flows from operating activities and available cash balances. However, our projections of future cash needs and cash flows may differ from historical results. If current cash on hand, cash equivalents, and cash that may be generated from our business operations are insufficient to continue to operate our business, or if we elect to invest in or acquire a company or companies or new technology or technologies that are synergistic with or complementary to our technologies, we may be required to obtain more working capital. We may seek to obtain working capital during our fiscal year 2025 or thereafter through sales of our equity securities or through bank credit facilities or public or private debt from various financial institutions where possible, though the availability of such funding, and applicable terms, will be dependent on prevailing market conditions.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do identify sources for additional funding, the sale of additional equity securities or convertible debt will result in dilution to our stockholders. We can give no assurance that we will generate sufficient cash flows in the future to satisfy our liquidity requirements or sustain future operations, or that other sources of funding, such as sales of equity or debt, would be available or would be approved by our security holders, if needed, on favorable terms or at all. If we fail to obtain additional working capital as and when needed, such failure could have a material adverse impact on our business, results of operations and financial condition. Furthermore, such lack of funds may inhibit our ability to respond to competitive pressures or unanticipated capital needs, or may force us to reduce operating expenses, which would significantly harm the business and development of operations.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impairment of long-lived assets and stock-based compensation.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principally of cash and cash equivalents. The Company generally maintains balances in various operating accounts at financial institutions that management believes to be credit worthy, in amounts that may exceed federally insured limits. The Company has not experienced any losses related to its cash and cash equivalents and does not believe that it is subject to unusual credit risk beyond the normal credit risk associated with commercial banking relationships.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significant portion of our revenue is concentrated with two customers, Magna and Uber. For the years ended December 31, 2024 and 2023, sales to Magna and Uber accounted for 91% and 71% of our total revenue, respectively. There are inherent risks whenever a large percentage of total revenues are concentrated with a limited number of customers. The loss of one or either of these customers could have a negative impact on our planned operations.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Manga International supporting our manufacturing efforts, the Company has also entered into commercial relationships including software services and licensing arrangements, which resulted in the Company recognizing revenue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all highly liquid investments with maturities of three months or less at the date of purchase to be cash equivalents.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ind w:hanging="3"/>
        <w:spacing w:after="0" w:line="287" w:lineRule="auto"/>
        <w:rPr>
          <w:sz w:val="20"/>
          <w:szCs w:val="20"/>
          <w:color w:val="auto"/>
        </w:rPr>
      </w:pPr>
      <w:r>
        <w:rPr>
          <w:rFonts w:ascii="Times New Roman" w:cs="Times New Roman" w:eastAsia="Times New Roman" w:hAnsi="Times New Roman"/>
          <w:sz w:val="14"/>
          <w:szCs w:val="14"/>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4" w:lineRule="exact"/>
        <w:rPr>
          <w:sz w:val="20"/>
          <w:szCs w:val="20"/>
          <w:color w:val="auto"/>
        </w:rPr>
      </w:pPr>
    </w:p>
    <w:p>
      <w:pPr>
        <w:jc w:val="both"/>
        <w:ind w:hanging="3"/>
        <w:spacing w:after="0" w:line="287" w:lineRule="auto"/>
        <w:rPr>
          <w:sz w:val="20"/>
          <w:szCs w:val="20"/>
          <w:color w:val="auto"/>
        </w:rPr>
      </w:pPr>
      <w:r>
        <w:rPr>
          <w:rFonts w:ascii="Times New Roman" w:cs="Times New Roman" w:eastAsia="Times New Roman" w:hAnsi="Times New Roman"/>
          <w:sz w:val="14"/>
          <w:szCs w:val="14"/>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values of the Company’s accounts receivable, prepaid expenses and accounts payable and accrued expenses approximate their fair values due to the short-term nature of these assets and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fair value measurements.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Accounts receivable are derived from services delivered to customers and are stated at their net realizable value.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December 31, 2024 and 2023, the Company determined there was no allowance for doubtful accounts necessary.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Inventory is stated at the lower of cost or market value and accounted for using the specific identification cost method. As of December 31, 2024 and 2023, inventory primarily consists of robotic component parts from the Company’s suppliers. Management reviews its inventory for obsolescence and impairment annually and did not record a reserve for obsolete inventory for the years ended December 31, 2024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expense is recognized using the straight-line method over the estimated useful life of the asset, which is three</w:t>
      </w:r>
    </w:p>
    <w:p>
      <w:pPr>
        <w:spacing w:after="0" w:line="23" w:lineRule="exact"/>
        <w:rPr>
          <w:sz w:val="20"/>
          <w:szCs w:val="20"/>
          <w:color w:val="auto"/>
        </w:rPr>
      </w:pPr>
    </w:p>
    <w:p>
      <w:pPr>
        <w:jc w:val="both"/>
        <w:ind w:firstLine="5"/>
        <w:spacing w:after="0" w:line="259" w:lineRule="auto"/>
        <w:tabs>
          <w:tab w:leader="none" w:pos="21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five (5) years for office equipment and two (2) to four (4)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Company accounts for long-lived assets in accordance with the provisions of ASC 360-10-35, </w:t>
      </w:r>
      <w:r>
        <w:rPr>
          <w:rFonts w:ascii="Times New Roman" w:cs="Times New Roman" w:eastAsia="Times New Roman" w:hAnsi="Times New Roman"/>
          <w:sz w:val="14"/>
          <w:szCs w:val="14"/>
          <w:i w:val="1"/>
          <w:iCs w:val="1"/>
          <w:color w:val="auto"/>
        </w:rPr>
        <w:t>Property, Plant and Equipment, Impairment or Disposal of Long-lived Assets.</w:t>
      </w:r>
      <w:r>
        <w:rPr>
          <w:rFonts w:ascii="Times New Roman" w:cs="Times New Roman" w:eastAsia="Times New Roman" w:hAnsi="Times New Roman"/>
          <w:sz w:val="14"/>
          <w:szCs w:val="14"/>
          <w:color w:val="auto"/>
        </w:rPr>
        <w:t xml:space="preserve"> 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management determined that certain events and circumstances occurred that indicated that the carrying value of the Company’s original fleet of robot assets may not be recoverable. Based on the undiscounted cash flows over the remaining depreciable life, management determined an impairment of the remaining carrying value was necessary.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complies with the requirements of ASC 340-10-S99-1 with regards to offering costs. Prior to the completion of an offering, offering costs are capitalized. The deferred offering costs are charged to additional paid-in capital or as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discount to debt, as applicable, upon the completion of an offering or to expense if the offering is not completed. As of December 31, 2024 and 2023, there were no deferred offering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Instruments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Subscription Receivable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records stock issuances at the effective date. If the subscription is not funded upon issuance, the Company records a subscription receivable as an asset on a balance sheet, except when subscription receivable is not received prior to the issuance of financial statements at a reporting date in satisfaction of the requirements under ASC 505-10-45-2, in which case, the subscription is reclassified as a contra account to stockholders’ equity (deficit) on the consolidated balance sheet.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Preferred Stock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ASC 480, Distinguishing Liabilities from Equity, includes standards for how an issuer of equity (including equity shares issued by consolidated entities) classifies and measures on its consolidated balance sheet certain financial instruments with characteristics of both liabilities and equity.</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Derivatives and Hedging, is not required. Management determined that the host contract of the preferred stock is more akin to equity, and accordingly, liability accounting is not required by the Company. The Company has presented preferred stock within stockholders’ equity.</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Costs incurred directly for the issuance of the preferred stock are recorded as a reduction of gross proceeds received by the Company, resulting in a discount to the preferred stock. The discount is not amortized.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accounts for stock-based compensation in accordance with ASC 718, Compensation - Stock Compensation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classifies stock-based compensation expense in its statement of operations in the same manner in which the award recipient’s payroll costs are classified or in which the award recipient’s service payments are classified.</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accounts for revenue under ASC 606</w:t>
      </w:r>
      <w:r>
        <w:rPr>
          <w:rFonts w:ascii="Times New Roman" w:cs="Times New Roman" w:eastAsia="Times New Roman" w:hAnsi="Times New Roman"/>
          <w:sz w:val="14"/>
          <w:szCs w:val="14"/>
          <w:i w:val="1"/>
          <w:iCs w:val="1"/>
          <w:color w:val="auto"/>
        </w:rPr>
        <w:t>, Revenue from Contracts with Customers</w:t>
      </w:r>
      <w:r>
        <w:rPr>
          <w:rFonts w:ascii="Times New Roman" w:cs="Times New Roman" w:eastAsia="Times New Roman" w:hAnsi="Times New Roman"/>
          <w:sz w:val="14"/>
          <w:szCs w:val="14"/>
          <w:color w:val="auto"/>
        </w:rPr>
        <w:t>. The Company determines revenue recognition through the following steps:</w:t>
      </w:r>
    </w:p>
    <w:p>
      <w:pPr>
        <w:spacing w:after="0" w:line="181"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a contract with a customer;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performance obligations are satisfied.</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recognizes revenue on its software services over time. The Company utilizes labor hours as a measure of progress to estimate the percentage of completion of the performance obligation at each reporting period. Service fees that have been invoiced or paid but performance obligations have not been met are recorded as deferred revenue. As of December 31, 2024, the Company had $20,097 in deferred revenue pertaining to software services.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delivery services, the Company satisfies its performance obligation when the delivery is complete, which is the point in time control of the delivered product transfers to the customer.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branding fees over time as performance obligations are completed over the term of the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disaggregation of revenue is as follows: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92"/>
        </w:trPr>
        <w:tc>
          <w:tcPr>
            <w:tcW w:w="7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services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1,185,903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Delivery services</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332,180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146,462</w:t>
            </w: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Branding fees</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45,250</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15,833</w:t>
            </w:r>
          </w:p>
        </w:tc>
      </w:tr>
      <w:tr>
        <w:trPr>
          <w:trHeight w:val="196"/>
        </w:trPr>
        <w:tc>
          <w:tcPr>
            <w:tcW w:w="78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1,812,483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207,545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and marketing expenses include personnel costs. Advertising costs are expensed as incurred and included in sales and marketing expenses. Advertising expense were approximately $0.39 million and $0.18 million for the years ended December 31,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expenses primarily consist of costs for field operations personnel and the lease expense associated with the facilities to operate our robot fleets.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allocated facility costs. These costs are expensed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incurred in the research and development of the Company’s products are expensed as incurred. Research and development costs include product design, hardware and software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accounts for leases under ASC 842 – Leases. The company does not apply the recognition requirements for leases with a term of twelve months or less.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determines if an arrangement is a lease, or includes an embedded lease, at inception for each contract or agreement. A contract is or contains an embedded lease if the contract meets all of the below criteria:</w:t>
      </w:r>
    </w:p>
    <w:p>
      <w:pPr>
        <w:spacing w:after="0" w:line="124" w:lineRule="exact"/>
        <w:rPr>
          <w:sz w:val="20"/>
          <w:szCs w:val="20"/>
          <w:color w:val="auto"/>
        </w:rPr>
      </w:pPr>
    </w:p>
    <w:p>
      <w:pPr>
        <w:ind w:left="500" w:hanging="24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 identified asset</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obtains substantially all of the economic benefits of the asset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right to direct the use of the asset</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operating lease agreements include office and warehouse space, and cargo vans.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operating lease ROU assets and operating lease liabilities include any lease payments made, including any variable amounts that are based on an index or rate, and exclude lease incentives.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Variability that is not due to an index or rate, such as payments made based on hourly rates, are excluded from the lease liability. Lease terms may include options to extend or terminate the lease.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uses the liability method of accounting for income taxes as set forth in ASC 740, Income Taxes.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2024 and 2023, diluted net loss per share is the same as basic net loss per share for each year. Potentially dilutive items outstanding as of December 31, 2024 and 2023 is as follows:</w:t>
      </w:r>
    </w:p>
    <w:p>
      <w:pPr>
        <w:spacing w:after="0" w:line="184"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22860</wp:posOffset>
            </wp:positionV>
            <wp:extent cx="194056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40560" cy="1333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3,340,011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1,090,272</w:t>
            </w:r>
          </w:p>
        </w:tc>
      </w:tr>
      <w:tr>
        <w:trPr>
          <w:trHeight w:val="19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1,022,291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1,515,386</w:t>
            </w:r>
          </w:p>
        </w:tc>
      </w:tr>
      <w:tr>
        <w:trPr>
          <w:trHeight w:val="207"/>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awards subject to recourse and nonrecourse loans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108,008</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324,019</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5,362,326</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potentially dilutive shares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9,832,636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2,929,677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to U.S. GAAP are established by the Financial Accounting Standards Board (the “FASB”), in the form of Accounting Standards Updates (“ASUs”), to the FASB’s ASC. The Company will adopt these changes according to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various timetables the FASB specifies. There were no recently adopted accounting standards which had a material impact on the Company’s consolidated financial position, results of operations, changes in stockholders’ equity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Adopted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 Improvements to Reportable Segment Disclosures, which requires disclosure of incremental segment information on an annual and interim basis, primarily disclosure of significant segment expense categories and amounts for each reportable segment. The new standard is effective for annual periods beginning after December 15, 2023, and interim periods within fiscal years beginning after December 15, 2024. The Company adopted ASU 2023-07 in the annual financial statements for the twelve months ended December 31, 2024, and for interim periods beginning in 2025. The Company believes the amendments of ASU 2023-07 will not have a significant impact on the Company’s consolidated financial statements and will include all required disclosures upon adoption.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 Not Yet Adopted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 Improvements to Income Tax Disclosures, which requires greater disaggregation of income tax disclosures related to the income tax reconciliation and income taxes paid. The amendments improve the transparency of income tax disclosures by requiring (1) consistent categories and greater disaggregation of information in the rate reconciliation and (2) income taxes paid disaggregated by jurisdiction. The new standard is effective for annual periods beginning after December 15, 2024, and early adoption is permitted. The Company believes the amendments of ASU 2023-09 will not have a significant impact on the Company’s consolidated financial statements and will include all required disclosures upon adoption.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financial assets and liabilities subject to fair value measurements on a recurring basis and the level of inputs used for such measurements were as follows: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Level 1, 2 or 3 assets or liabilities as of December 31, 2024 or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Simple Agreements for Future Equity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measures the simple agreements for future equity (“SAFE” or “SAFEs”)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settlement outcomes include unobservable Level 3 inputs.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2022, the Company assumed a 85% probability of a liquidity and/or equity financing events as the primary ultimate settlement outcomes of the future equity obligations. Immediately prior to the Merger, the Company revalued the remaining outstanding SAFEs using a 100% probability of an equity financing and $4.00 as the fair value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underlying common stock (see Note 6). Upon the Merger, the SAFEs converted into 4,372,601 shares of common stock at a fair value of $17,490,404.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Liability</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connection with the Company’s convertible notes, the Company recorded a derivative liability (see Note 5). The estimated fair value of the derivative liability is recorded using significant unobservable measures and other fair value inputs and is therefore classified as a Level 3 financial instrument.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derivative liability is valued using a with-or-without analysis utilizing the terms of the notes and assumptions regarding cash settlement or conversion to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 summary of changes in the fair value of our Level 3 financial instrument liabilities for the years ended December 31,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Simple</w:t>
            </w:r>
          </w:p>
        </w:tc>
        <w:tc>
          <w:tcPr>
            <w:tcW w:w="260" w:type="dxa"/>
            <w:vAlign w:val="bottom"/>
          </w:tcPr>
          <w:p>
            <w:pPr>
              <w:spacing w:after="0"/>
              <w:rPr>
                <w:sz w:val="13"/>
                <w:szCs w:val="13"/>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Embedded</w:t>
            </w: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Agreement For</w:t>
            </w:r>
          </w:p>
        </w:tc>
        <w:tc>
          <w:tcPr>
            <w:tcW w:w="260" w:type="dxa"/>
            <w:vAlign w:val="bottom"/>
          </w:tcPr>
          <w:p>
            <w:pPr>
              <w:spacing w:after="0"/>
              <w:rPr>
                <w:sz w:val="13"/>
                <w:szCs w:val="13"/>
                <w:color w:val="auto"/>
              </w:rPr>
            </w:pPr>
          </w:p>
        </w:tc>
        <w:tc>
          <w:tcPr>
            <w:tcW w:w="1320" w:type="dxa"/>
            <w:vAlign w:val="bottom"/>
            <w:gridSpan w:val="3"/>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Future Equity</w:t>
            </w:r>
          </w:p>
        </w:tc>
        <w:tc>
          <w:tcPr>
            <w:tcW w:w="260" w:type="dxa"/>
            <w:vAlign w:val="bottom"/>
          </w:tcPr>
          <w:p>
            <w:pPr>
              <w:spacing w:after="0"/>
              <w:rPr>
                <w:sz w:val="17"/>
                <w:szCs w:val="17"/>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Liability</w:t>
            </w:r>
          </w:p>
        </w:tc>
        <w:tc>
          <w:tcPr>
            <w:tcW w:w="480" w:type="dxa"/>
            <w:vAlign w:val="bottom"/>
          </w:tcPr>
          <w:p>
            <w:pPr>
              <w:spacing w:after="0"/>
              <w:rPr>
                <w:sz w:val="17"/>
                <w:szCs w:val="17"/>
                <w:color w:val="auto"/>
              </w:rPr>
            </w:pPr>
          </w:p>
        </w:tc>
        <w:tc>
          <w:tcPr>
            <w:tcW w:w="10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13,150,745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13,150,745</w:t>
            </w:r>
          </w:p>
        </w:tc>
        <w:tc>
          <w:tcPr>
            <w:tcW w:w="0" w:type="dxa"/>
            <w:vAlign w:val="bottom"/>
          </w:tcPr>
          <w:p>
            <w:pPr>
              <w:spacing w:after="0"/>
              <w:rPr>
                <w:sz w:val="1"/>
                <w:szCs w:val="1"/>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simple agreements for future equity</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2,666,953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2,666,953</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embedded derivative liability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601,000</w:t>
            </w:r>
          </w:p>
        </w:tc>
        <w:tc>
          <w:tcPr>
            <w:tcW w:w="0" w:type="dxa"/>
            <w:vAlign w:val="bottom"/>
          </w:tcPr>
          <w:p>
            <w:pPr>
              <w:spacing w:after="0"/>
              <w:rPr>
                <w:sz w:val="1"/>
                <w:szCs w:val="1"/>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1,672,706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1,821,706</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to common stock upon Merger</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(17,490,404)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(18,240,404)</w:t>
            </w:r>
          </w:p>
        </w:tc>
        <w:tc>
          <w:tcPr>
            <w:tcW w:w="0" w:type="dxa"/>
            <w:vAlign w:val="bottom"/>
          </w:tcPr>
          <w:p>
            <w:pPr>
              <w:spacing w:after="0"/>
              <w:rPr>
                <w:sz w:val="1"/>
                <w:szCs w:val="1"/>
                <w:color w:val="auto"/>
              </w:rPr>
            </w:pPr>
          </w:p>
        </w:tc>
      </w:tr>
      <w:tr>
        <w:trPr>
          <w:trHeight w:val="192"/>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embedded derivative liability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1,489,000</w:t>
            </w:r>
          </w:p>
        </w:tc>
        <w:tc>
          <w:tcPr>
            <w:tcW w:w="0" w:type="dxa"/>
            <w:vAlign w:val="bottom"/>
          </w:tcPr>
          <w:p>
            <w:pPr>
              <w:spacing w:after="0"/>
              <w:rPr>
                <w:sz w:val="1"/>
                <w:szCs w:val="1"/>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221,560</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to common stock upon Merger</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(1,710,560)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(1,710,560)</w:t>
            </w:r>
          </w:p>
        </w:tc>
        <w:tc>
          <w:tcPr>
            <w:tcW w:w="0" w:type="dxa"/>
            <w:vAlign w:val="bottom"/>
          </w:tcPr>
          <w:p>
            <w:pPr>
              <w:spacing w:after="0"/>
              <w:rPr>
                <w:sz w:val="1"/>
                <w:szCs w:val="1"/>
                <w:color w:val="auto"/>
              </w:rPr>
            </w:pPr>
          </w:p>
        </w:tc>
      </w:tr>
      <w:tr>
        <w:trPr>
          <w:trHeight w:val="198"/>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summary of property and equipment:</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250,661</w:t>
            </w:r>
          </w:p>
        </w:tc>
        <w:tc>
          <w:tcPr>
            <w:tcW w:w="0" w:type="dxa"/>
            <w:vAlign w:val="bottom"/>
          </w:tcPr>
          <w:p>
            <w:pPr>
              <w:spacing w:after="0"/>
              <w:rPr>
                <w:sz w:val="1"/>
                <w:szCs w:val="1"/>
                <w:color w:val="auto"/>
              </w:rPr>
            </w:pP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Robot assets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4,609,886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2,092,293</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7,826,476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1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1,799,033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14,567,705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2,342,954</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(2,604,244)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(2,294,532)</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11,963,461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was $309,712 and $1,863,924 for the years ended December 31, 2024 and 2023, respectively.</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 Company fully impaired the carrying amount of the former fleet of robot assets pursuant to its annual impairment assessment. The Company recorded an impairment expense of $1,468,995.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PAYABLE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Silicon Valley Bank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note payable, net of unamortized discounts was zero, compared to $1,230,933 at December 31, 2023. As of December 31, 2024 and 2023, the company made repayments of $1,250,000 and $750,000, respectively. During the years ending December 31, 2024 and 2023, amortization of debt discount was $19,067 and $16,333,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 Payable – Related Party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June and July 2023, the Company issued senior secured promissory notes with its Chief Executive Officer for which the Company received $449,000 in proceeds. The notes bore interest at 7.67% per annum.</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these notes, the Company agreed to pay an exit fee upon repayment of the note equal to 16% of the principal, less the total interest that accrued until repayment. Upon the Merger, the Company fully repaid the notes and exit fee for a total of $520,840.</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2023, the Company issued a senior secured promissory note to its Chief Executive Officer for which Serve received $70,000 in proceeds. The note bore interest at 7.67% per annum. The note was outstanding as of December 31, 2023 and fully repaid on January 3,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2023 Convertible Note Payable</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April 2023, the Company entered into bridge financing totaling $3,001,500 in principal for which the Company received $2,798,410 in net proceeds (the “April Notes”), after deducting offering costs of $203,090. The April Notes bore interest at 10% per annum and were payable six months from the date of the bridge financing, subject to conversion. The April Notes were convertible into shares of common stock at a conversion price equal to 80% of the price per the PIPE offering (the “Private Placement”), which initially closed simultaneously with the Merger on July 31, 2023 (see Note 6). Upon the closing of the Merger and the initial closing of the Private Placement, the outstanding principal amount of the Bridge Notes was automatically converted into 937,961 shares of common stock at a conversion price of $3.20 per share. Furthermore, accrued interest on the April Notes were forgiven; therefore, no interest was recognized as of the closing of the Merger.</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evaluated the terms of the conversion features of the April Notes as noted above in accordance with ASC Topic No. 815 – 40, Derivatives and Hedging – Contracts in Entity’s Own Stock, and determined they are not indexed to the Company’s common stock and that the conversion feature, which is akin to a redemption feature, meet the definition of a liability. Therefore, the Company bifurcated the conversion feature and accounted for it as a separate derivative liability. Upon issuance of the April Notes, the Company recognized a derivative liability at a fair value of $601,000 (see Note 3), which was recorded as a debt discount and was amortized over the life of the notes. Upon the Merger and the Private Placement, the derivative liability had a fair value of $750,000, which was recorded to additional paid-in capital in connection with the conversion of the underlying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January 2024 Convertible Note Payable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various dates in January 2024, the Company issued to certain accredited investors convertible promissory notes in an aggregate amount of $5,014,500, for which the Company received $4,844,625 in net proceeds (the “January Notes”). As a result, the Company incurred fees of $169,875 which was recorded as a debt discount. The January Notes bore interest at a rate of 6.00% per year, compounded annually, and were due and payable upon request by each investor on or after the 12-month anniversary of the original issuance date of each note. The Company may not prepay or repay the January Notes in cash without the consent of the investors. The January Notes were to convert upon a qualified offering into common stock at the lesser of the price paid per share multiplied by 75% or the quotient resulting from dividing $80,000,000 by the outstanding shares of common stock on a fully diluted basis prior to the financing (the “Conversion Price”). Upon the closing of the Offering in April 2024, the January Notes, including accrued interest, were converted into 2,104,562 shares of common stock at a conversion price of $2.42 per share.</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evaluated the terms of the conversion features of the January Notes as noted above in accordance with ASC Topic No. 815 - 40, Derivatives and Hedging - Contracts in Entity’s Own Stock, and determined they are not indexed to the Company’s common stock and that the conversion feature, which is akin to a redemption feature, meets the definition of a liability. The January Notes contain an indeterminate number of shares to settle with conversion options outside of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Company’s control. Therefore, the Company bifurcated the conversion feature and accounted for it as a separate derivative liability. Upon issuance of the January Notes, the Company recognized a derivative liability at a fair value of $1,489,000, which is recorded as a debt discount and was amortized over the life of the January Notes. Upon the closing of the Offering, the derivative liability had a fair value of $1,710,560, which was reclassified to additional paid-in capital in connection with the conversion of the underlying the January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 January Notes, the Company recognized an aggregate debt discount of $1,658,875 through December 31, 2024, amortized to 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incurred interest expense pertaining to the January Notes of $78,540, all of which were converted into common stock in April 2024.</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Upon the closing of the Offering in April 2024, the outstanding principal and accrued interest of the January Notes converted into 2,104,562 shares of common stock. Accordingly, the related derivative liability was recorded into additional paid-in capital. See Note 6.</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connection with the issuance of the January Notes, the Company granted the placement agent warrants to purchase (the “Convertible Promissory Notes Offering Warrants”) to purchase common stock equal to 10% of the number of shares of common stock into which the January Notes sold to investors introduced by the placement agent are initially convertible. The Convertible Promissory Notes Offering Warrants are exercisable at the same price as the Conversion Price. Upon closing of the Offering, the Company issued the Convertible Promissory Notes Offering Warrants to purchase up to 63,479 shares of common stock at an exercise price of $2.42 per share. The Convertible Promissory Notes Offering Warrants expire on April 17, 2029. The Convertible Promissory Notes Offering Warrants include customary anti-dilution provisions. As of December 31, 2024, 62,388 of 63,479 warrants exercised into shares of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share of common stock entitles the holder to one vote on all matters submitted to a vote of the Company’s stockholders. Common stockholders are not entitled to receive dividends, unless declared by the Company’s board of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authorized to issue 10,000,000 and 300,000,000 shares of preferred stock and common stock, par value $0.0001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2024, the Company issued 10,000,000 shares of common stock for gross proceeds of $40,000,000, or $4.00 per share, pursuant to the Offering. In connection with the Offering, the Company incurred $4,150,864 in offering costs. In connection with the Offering, the Company issued warrants to purchase 500,000 shares of common stock (the “Representative’s Warrant”). The Representative’s Warrant is exercisable at a per share exercise price equal to $5.00 and became exercisable at any time and from time to time, in whole or in part, on October 14, 2024. The Representative’s Warrant expire on April 17, 2029.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closing of the Offering, the January Notes converted into 2,104,562 shares of common stock based upon a conversion price of $2.42 per share.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July 23, 2024, the Company entered into a Securities Purchase Agreement (the "July Purchase Agreement") with a certain accredited and institutional investor for a private placement offering of pre-funded warrants (the "July Pre-Funded Warrants") to purchase shares of the Company’s common stock and warrants exercisable for common stock (the "July Investor Warrants"). Pursuant to the July Purchase Agreement, the Company sold 2,500,000 July Pre-Funded Warrants with each July Pre-Funded Warrant exercisable for one share of common stock, together with July Investor Warrants to purchase up to 2,500,000 shares of common stock. Each July Prefunded Warrant and accompanying July Investor Warrant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were sold together at a combined offering price of $5.9999. The Company received net proceeds of $13.7 million pursuant to the July Purchase Agreement.</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August 27, 2024, the Company entered into a Securities Purchase Agreement (the "August Purchase Agreement") with a certain accredited and institutional investor for a private placement offering of pre-funded warrants (the "August Pre-Funded Warrants") to purchase shares of the Company’s common stock and warrants exercisable for shares of Common Stock (the "August Investor Warrants"). Pursuant to the August Purchase Agreement, the company sold 555,555 August Prefunded Warrants exercisable for one share of common stock, together with the August Investor Warrants to purchase up to 555,555 shares. Each August Prefunded Warrant and accompanying August Investor Warrants were sold together at a combined offering price of $8.9999. The July Investor Warrants were exercised in full for 2,500,000 shares of common stock. In consideration for the immediate exercise in full of the existing warrants, the exercise holder received new warrants (the "August Exchange Warrants") to purchase 2,200,000 shares of common stock with and exercise price of $10.00 per share. The August Exchange Warrants became exercisable immediately upon issuance and will expire five and a half years from the date of issuance. The Company received net proceeds of $18.6 million pursuant to the August Purchase Agreement.</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Immediately following the Merger, the Company issued 2,782,378 shares of common stock pursuant to a private placement offering for gross proceeds of $11,129,512, or at a purchase price of $4.00 per share. On August 31, 2023, the Company issued an additional 257,762 shares of common stock pursuant to the private placement offering for gross proceeds of $1,031,048, or $4.00 per share.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consummation of the Merger, Patricia’s predecessor shares converted into 1,500,000 shares of common stock of the newly merged entity.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consummation of the Merger, all outstanding SAFEs were converted into 4,372,601 shares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consummation of the Merger, the outstanding convertible note was converted into 937,961 shares of common stock (see Note 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consummation of the Merger, all shares of Serve Preferred Stock were converted into 7,978,616 shares of common stock.</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October 26, 2023, the Company completed a subsequent closing of the Private Placement and issued 143,531 shares of common stock for gross proceeds of $547,123, or $4.00 per share. The Company received $529,127 in net proceeds.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Common Stock and Restricted Stock Units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During 2023, the Company issued 338,121 shares of restricted common stock for recourse notes totaling $164,116. The shares were issued with a corresponding note receivable, a recourse loan that was collateralized by the underlying shares. The Company planned to enforce the recourse terms for the holders. As such, in accordance with ASC 505-10-45-2, the Company recognized a subscription receivable of $165,719, inclusive of interest on the note, which was included as a contra-equity on the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In June 2024, the Company forgave one recourse loan, and due to the lack of enforcement, the remaining loans were deemed nonrecourse. Accordingly, the Company extinguished restricted stock award liability and the related subscription receivable related to loans previously classified as recourse loans. In accordance with ASC 718, these actions were deemed award modifications. The Company recognized $204,272 in stock based compensation related to the incremental value of the award and an additional $11,503 related to the change in classification; all of which was included in general and administrative expense in the consolidated statements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there were 108,008 shares of common stock issued, that are subject to the non-recourse notes and deemed not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and 2023, the Company repurchased restricted stock awards of 233,208 and 319,118 shares of common stock, respectively, for nominal value.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2024, the Company issued 5,759,948 of restricted stock units ("RSUs") with vesting periods ranging 1 month to 4 years.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377,284 RSUs vested and 5,362,326 RSUs remained outstanding and will vest over approximately 2.94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2024 and 2023, the Company recorded stock-based compensation pertaining to vesting of restricted common stock and RSUs of $5,505,883 and $263,893,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restricted common stock and RSU activity for the year ended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Restricted Common Stock</w:t>
            </w:r>
          </w:p>
        </w:tc>
        <w:tc>
          <w:tcPr>
            <w:tcW w:w="1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60" w:type="dxa"/>
            <w:vAlign w:val="bottom"/>
          </w:tcPr>
          <w:p>
            <w:pPr>
              <w:spacing w:after="0"/>
              <w:rPr>
                <w:sz w:val="13"/>
                <w:szCs w:val="13"/>
                <w:color w:val="auto"/>
              </w:rPr>
            </w:pPr>
          </w:p>
        </w:tc>
        <w:tc>
          <w:tcPr>
            <w:tcW w:w="13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142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60" w:type="dxa"/>
            <w:vAlign w:val="bottom"/>
            <w:gridSpan w:val="3"/>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60" w:type="dxa"/>
            <w:vAlign w:val="bottom"/>
            <w:gridSpan w:val="2"/>
          </w:tcPr>
          <w:p>
            <w:pPr>
              <w:jc w:val="right"/>
              <w:ind w:right="69"/>
              <w:spacing w:after="0" w:line="160"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54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6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2,877,761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5,759,948</w:t>
            </w:r>
          </w:p>
        </w:tc>
        <w:tc>
          <w:tcPr>
            <w:tcW w:w="1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7.28</w:t>
            </w:r>
          </w:p>
        </w:tc>
        <w:tc>
          <w:tcPr>
            <w:tcW w:w="0" w:type="dxa"/>
            <w:vAlign w:val="bottom"/>
          </w:tcPr>
          <w:p>
            <w:pPr>
              <w:spacing w:after="0"/>
              <w:rPr>
                <w:sz w:val="1"/>
                <w:szCs w:val="1"/>
                <w:color w:val="auto"/>
              </w:rPr>
            </w:pPr>
          </w:p>
        </w:tc>
      </w:tr>
      <w:tr>
        <w:trPr>
          <w:trHeight w:val="207"/>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(1,647,754)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(377,284)</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9"/>
              </w:rPr>
              <w:t>2.28</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(233,208)</w:t>
            </w:r>
          </w:p>
        </w:tc>
        <w:tc>
          <w:tcPr>
            <w:tcW w:w="2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(20,338)</w:t>
            </w:r>
          </w:p>
        </w:tc>
        <w:tc>
          <w:tcPr>
            <w:tcW w:w="11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9"/>
              </w:rPr>
              <w:t>7.51</w:t>
            </w: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5,362,326</w:t>
            </w:r>
          </w:p>
        </w:tc>
        <w:tc>
          <w:tcPr>
            <w:tcW w:w="11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9"/>
              </w:rPr>
              <w:t>7.49</w:t>
            </w: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summary of warrants as of December 31, 2024:</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1,090,272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9"/>
              </w:rPr>
              <w:t>2.67</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11,019,589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9"/>
              </w:rPr>
              <w:t>5.92</w:t>
            </w:r>
          </w:p>
        </w:tc>
        <w:tc>
          <w:tcPr>
            <w:tcW w:w="0" w:type="dxa"/>
            <w:vAlign w:val="bottom"/>
          </w:tcPr>
          <w:p>
            <w:pPr>
              <w:spacing w:after="0"/>
              <w:rPr>
                <w:sz w:val="1"/>
                <w:szCs w:val="1"/>
                <w:color w:val="auto"/>
              </w:rPr>
            </w:pPr>
          </w:p>
        </w:tc>
      </w:tr>
      <w:tr>
        <w:trPr>
          <w:trHeight w:val="20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(8,755,939)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9"/>
              </w:rPr>
              <w:t>5.27</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3.89</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3,340,011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9"/>
              </w:rPr>
              <w:t>6.56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2024</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3,340,011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9"/>
              </w:rPr>
              <w:t>6.56</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weighted-average remaining term of the warrants outstanding was 6.3 years as of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Magna Warrant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 2024, Serve entered into a Master Services Agreement (the “MSA”) with Magna New Mobility USA, Inc. (“Magna”), retroactively effective as of January 15, 2024.</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the strategic partnership with Magna, on February 7, 2024, the Company issued to Magna a warrant (the “Magna Warrant”) to purchase up to 2,145,000 shares of its common stock (the “Magna Warrant Shares”), subject to at an exercise price of $0.01 per share. The Magna Warrant was issued pursuant to a production agreement executed in connection with the MSA between the parties in April 2024 whereby Magna will assist the Company in assembly of robotic delivery vehicles.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Magna Warrant is exercisable in two equal tranches: (i) the first tranche became exercisable on May 2024; and (ii) the second tranche became exercisable in December 2024. As of December 31, 2024, all Magna Warrants were fully vested.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Magna Warrant was $8,566,184, which was valued using the Black-Scholes pricing model using the range of inputs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6153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Risk-free interest rate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volatility</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dividend yield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4.09 %</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10.0</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75.0 %</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ectPr>
          <w:pgSz w:w="11900" w:h="16838" w:orient="portrait"/>
          <w:cols w:equalWidth="0" w:num="2">
            <w:col w:w="10140" w:space="720"/>
            <w:col w:w="420"/>
          </w:cols>
          <w:pgMar w:left="300" w:top="125" w:right="319" w:bottom="1440" w:gutter="0" w:footer="0" w:header="0"/>
        </w:sectPr>
      </w:pPr>
    </w:p>
    <w:p>
      <w:pPr>
        <w:spacing w:after="0" w:line="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8,566,184 in stock-based compensation expense pertaining to these warrants as of December 31, 2024, based on the vesting conditions noted above and the Company’s estimations of when the services will be completed. The Company recorded the expense to research and development expense 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Distribution Agreement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November 7, 2024, the Company entered into a equity distribution agreement (the “Distribution Agreement”) with Northland Securities, Inc., B. Riley Securities, Inc. and Ladenburg Thalmann &amp; Co. Inc. under which the Company may offer and sell, from time to time in its sole discretion, shares of the Company’s common stock, par value $0.0001 per share (the “Common Stock”), with aggregate gross sales proceeds of up to $100,000,000 through an “at the market” equity offering program. Under the Distribution Agreement, the Company will set the parameters for the sale of shares. Subject to the terms and conditions of the Distribution Agreement, the Agents may sell the shares by methods deemed to be an “at the market” offering as defined in Rule 415 promulgated under the Securities Act of 1933, as amended. The Distribution Agreement provides that the Company will pay the Agents a commission of up to 3% of the gross proceeds of any shares of Common Stock sold through the Agents under the Distribution Agreement.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twelve months ended December 31, 2024, the Company sold a total of 5,698,992 shares of our common stock under the Equity Distribution Agreement, at a weighted-average price of $14.04 per share, respectively, and raised $80.0 million of gross proceeds. After deducting approximately $2.4 million of commissions and offering costs incurred by the Company, the net proceeds from sales of common stock was $77.6 million during the twelve months ended December 31, 2024. As of December 31, 2024, the Company had approximately $20.0 million of remaining capacity to sell the Company's common stock under the Equity Distribution Agreement. On March 5, 2025 the Company terminated the Equity Distribution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Equity Incentive Plan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adjustments as set forth in the 2023 Plan, the maximum aggregate number of shares of common stock that may be issued under the 2023 Plan will not exceed 7,487,029 shares.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the extent, stock awards or awards or shares issued under the 2021 Plan that are assumed by the Company pursuant to the Merger Agreement (“Existing Plan Awards”) expire or are forfeited or becomes unexerciseable for any reason without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Serve Robotics 2021 Equity Incentive Plan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2024. The option exercise price generally may not be less than the underlying stock’s fair market value at the date of the grant and generally have a term of ten years. The amounts granted each calendar year to an employee or non-employee is limited depending on the type of award. Stock options granted under the 2021 Plan typically vest over a four-year period, with a one-year cliff as well as via specified milestones.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there were approximately 1,590,603 shares available to be issued, including forfeited shares from predecessor plans.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information related to stock options for the years ended December 31, 2024 and 2023 is as follows:</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55"/>
        </w:trPr>
        <w:tc>
          <w:tcPr>
            <w:tcW w:w="7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8"/>
        </w:trPr>
        <w:tc>
          <w:tcPr>
            <w:tcW w:w="70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861,309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765,477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3"/>
        </w:trPr>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(111,400)</w:t>
            </w:r>
          </w:p>
        </w:tc>
        <w:tc>
          <w:tcPr>
            <w:tcW w:w="2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1,515,386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5,111,928</w:t>
            </w:r>
          </w:p>
        </w:tc>
      </w:tr>
      <w:tr>
        <w:trPr>
          <w:trHeight w:val="196"/>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110,374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6,543,993</w:t>
            </w:r>
          </w:p>
        </w:tc>
      </w:tr>
      <w:tr>
        <w:trPr>
          <w:trHeight w:val="196"/>
        </w:trPr>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(91,682)</w:t>
            </w:r>
          </w:p>
        </w:tc>
        <w:tc>
          <w:tcPr>
            <w:tcW w:w="2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r>
      <w:tr>
        <w:trPr>
          <w:trHeight w:val="223"/>
        </w:trPr>
        <w:tc>
          <w:tcPr>
            <w:tcW w:w="7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1,022,291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12,842,790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349"/>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Exercisable as of December 31,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554,200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6,956,792</w:t>
            </w:r>
          </w:p>
        </w:tc>
      </w:tr>
      <w:tr>
        <w:trPr>
          <w:trHeight w:val="207"/>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Exercisable and expected to vest at December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1,022,291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12,842,790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weighted average duration to expiration of outstanding options was 7.55 years.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Stock-based compensation expense for stock options of $360,558 and $280,482 was recognized for the years ended December 31, 2024 and 2023, respectively. Total unrecognized compensation cost related to non-vested stock option awards amounted to approximately $208,126 as of December 31, 2024, which will be recognized over a weighted average period of 1.63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The stock options were valued using the Black-Scholes pricing model using the range of inputs as indicated below:</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55"/>
        </w:trPr>
        <w:tc>
          <w:tcPr>
            <w:tcW w:w="7840" w:type="dxa"/>
            <w:vAlign w:val="bottom"/>
          </w:tcPr>
          <w:p>
            <w:pPr>
              <w:spacing w:after="0"/>
              <w:rPr>
                <w:sz w:val="24"/>
                <w:szCs w:val="24"/>
                <w:color w:val="auto"/>
              </w:rPr>
            </w:pPr>
          </w:p>
        </w:tc>
        <w:tc>
          <w:tcPr>
            <w:tcW w:w="230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140" w:type="dxa"/>
            <w:vAlign w:val="bottom"/>
          </w:tcPr>
          <w:p>
            <w:pPr>
              <w:spacing w:after="0"/>
              <w:rPr>
                <w:sz w:val="24"/>
                <w:szCs w:val="24"/>
                <w:color w:val="auto"/>
              </w:rPr>
            </w:pPr>
          </w:p>
        </w:tc>
      </w:tr>
      <w:tr>
        <w:trPr>
          <w:trHeight w:val="198"/>
        </w:trPr>
        <w:tc>
          <w:tcPr>
            <w:tcW w:w="7840" w:type="dxa"/>
            <w:vAlign w:val="bottom"/>
          </w:tcPr>
          <w:p>
            <w:pPr>
              <w:spacing w:after="0"/>
              <w:rPr>
                <w:sz w:val="17"/>
                <w:szCs w:val="17"/>
                <w:color w:val="auto"/>
              </w:rPr>
            </w:pPr>
          </w:p>
        </w:tc>
        <w:tc>
          <w:tcPr>
            <w:tcW w:w="230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203"/>
        </w:trPr>
        <w:tc>
          <w:tcPr>
            <w:tcW w:w="784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 - 4.50%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 - 3.91%</w:t>
            </w:r>
          </w:p>
        </w:tc>
      </w:tr>
      <w:tr>
        <w:trPr>
          <w:trHeight w:val="20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5.00-6.27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5.52-6.27</w:t>
            </w: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grant date fair value of options granted during 2024 and 2023 were $2.64 and $0.41,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for stock options and restricted common stock (Note 6) was classified in the statements of operations as follows:</w:t>
      </w:r>
    </w:p>
    <w:p>
      <w:pPr>
        <w:spacing w:after="0" w:line="219"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1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11430</wp:posOffset>
            </wp:positionV>
            <wp:extent cx="194056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40560" cy="1333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2,833,862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59,002</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49,139</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11,491,617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416,838</w:t>
            </w:r>
          </w:p>
        </w:tc>
      </w:tr>
      <w:tr>
        <w:trPr>
          <w:trHeight w:val="20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83,295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19,396</w:t>
            </w:r>
          </w:p>
        </w:tc>
      </w:tr>
      <w:tr>
        <w:trPr>
          <w:trHeight w:val="203"/>
        </w:trPr>
        <w:tc>
          <w:tcPr>
            <w:tcW w:w="8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14,554,926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544,375</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Deferred taxes are recognized for temporary differences between the basis of assets and liabilities for financial statement and income tax purposes. The differences relate primarily to net operating loss carryforwards and temporary differences from capitalized research and development costs under tax purposes. As of December 31, 2024 and 2023, the Company had net deferred tax assets before valuation allowance of $21,403,134 and $14,412,164, respectively. The following table presents the deferred tax assets and liabilities by source: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14"/>
        </w:trPr>
        <w:tc>
          <w:tcPr>
            <w:tcW w:w="8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15,003,632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11,896,550</w:t>
            </w: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research and development costs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5,988,286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2,516,557</w:t>
            </w: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temporary differences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r>
      <w:tr>
        <w:trPr>
          <w:trHeight w:val="20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(21,403,134)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(14,412,164)</w:t>
            </w:r>
          </w:p>
        </w:tc>
      </w:tr>
      <w:tr>
        <w:trPr>
          <w:trHeight w:val="227"/>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deferred tax assets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2024 and 2023, cumulative losses through December 31, 2024, and no history of generating taxable income. Therefore, valuation allowances of $21,403,134 and $14,412,164 were recorded as of December 31, 2024 and 2023, respectively. Valuation allowance increased by $6,990,970 and $5,385,725 during the periods ended December 31, 2024 and 2023, respectively.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tax assets were calculated using the Company’s combined effective tax rate, which it estimated to be 28.0%. The effective rate is reduced to 0% due to the full valuation allowance on its net deferred tax assets.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ability to utilize net operating loss carryforwards will depend on its ability to generate adequate future taxable income. At December 31, 2024 and 2023, the Company had net operating loss carryforwards available to offset future taxable income in the amount of $53,535,239 and $42,321,416, respectively, and net operating loss carryforwards do not expire under current tax regulations.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evaluated its income tax positions and has determined that it does not have any uncertain tax positions. The Company will recognize interest and penalties related to any uncertain tax positions through its income tax expense.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may in the future become subject to federal, state and local income taxation though it has not been since its inception, other than minimum state tax. The Company is not presently subject to any income tax audit in any taxing jurisdiction, though its 2021-2024 tax years remain open to examination.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 – Right of Use Asset and Liability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leases for office and warehouse space with monthly payments ranging from $9,514 to $18,937, and terms expiring through March 2028. The Company also has leases for cargo vans, each with a monthly payment of $1,450, and terms expiring through December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components of lease costs are as follows:</w:t>
            </w: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55"/>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20" w:type="dxa"/>
            <w:vAlign w:val="bottom"/>
          </w:tcPr>
          <w:p>
            <w:pPr>
              <w:spacing w:after="0"/>
              <w:rPr>
                <w:sz w:val="24"/>
                <w:szCs w:val="24"/>
                <w:color w:val="auto"/>
              </w:rPr>
            </w:pPr>
          </w:p>
        </w:tc>
      </w:tr>
      <w:tr>
        <w:trPr>
          <w:trHeight w:val="198"/>
        </w:trPr>
        <w:tc>
          <w:tcPr>
            <w:tcW w:w="5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Financial Statement</w:t>
            </w: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20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0" w:type="dxa"/>
            <w:vAlign w:val="bottom"/>
            <w:tcBorders>
              <w:bottom w:val="single" w:sz="8" w:color="CCEEFF"/>
            </w:tcBorders>
          </w:tcPr>
          <w:p>
            <w:pPr>
              <w:spacing w:after="0"/>
              <w:rPr>
                <w:sz w:val="17"/>
                <w:szCs w:val="17"/>
                <w:color w:val="auto"/>
              </w:rPr>
            </w:pPr>
          </w:p>
        </w:tc>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Line Item</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w:t>
            </w:r>
          </w:p>
        </w:tc>
        <w:tc>
          <w:tcPr>
            <w:tcW w:w="8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55,978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49,810</w:t>
            </w: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w:t>
            </w:r>
          </w:p>
        </w:tc>
        <w:tc>
          <w:tcPr>
            <w:tcW w:w="80" w:type="dxa"/>
            <w:vAlign w:val="bottom"/>
          </w:tcPr>
          <w:p>
            <w:pPr>
              <w:spacing w:after="0"/>
              <w:rPr>
                <w:sz w:val="17"/>
                <w:szCs w:val="17"/>
                <w:color w:val="auto"/>
              </w:rPr>
            </w:pPr>
          </w:p>
        </w:tc>
        <w:tc>
          <w:tcPr>
            <w:tcW w:w="30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Operations</w:t>
            </w:r>
          </w:p>
        </w:tc>
        <w:tc>
          <w:tcPr>
            <w:tcW w:w="28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719,253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665,961</w:t>
            </w:r>
          </w:p>
        </w:tc>
      </w:tr>
      <w:tr>
        <w:trPr>
          <w:trHeight w:val="20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w:t>
            </w:r>
          </w:p>
        </w:tc>
        <w:tc>
          <w:tcPr>
            <w:tcW w:w="8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241,630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217,890</w:t>
            </w:r>
          </w:p>
        </w:tc>
      </w:tr>
      <w:tr>
        <w:trPr>
          <w:trHeight w:val="203"/>
        </w:trPr>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lease costs</w:t>
            </w: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1,016,861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933,661</w:t>
            </w:r>
          </w:p>
        </w:tc>
      </w:tr>
      <w:tr>
        <w:trPr>
          <w:trHeight w:val="413"/>
        </w:trPr>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leases are as follows:</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20" w:type="dxa"/>
            <w:vAlign w:val="bottom"/>
          </w:tcPr>
          <w:p>
            <w:pPr>
              <w:spacing w:after="0"/>
              <w:rPr>
                <w:sz w:val="24"/>
                <w:szCs w:val="24"/>
                <w:color w:val="auto"/>
              </w:rPr>
            </w:pPr>
          </w:p>
        </w:tc>
      </w:tr>
      <w:tr>
        <w:trPr>
          <w:trHeight w:val="198"/>
        </w:trPr>
        <w:tc>
          <w:tcPr>
            <w:tcW w:w="5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203"/>
        </w:trPr>
        <w:tc>
          <w:tcPr>
            <w:tcW w:w="5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paid for operating leases</w:t>
            </w:r>
          </w:p>
        </w:tc>
        <w:tc>
          <w:tcPr>
            <w:tcW w:w="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593,184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550,470</w:t>
            </w: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1,577,867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14"/>
        </w:trPr>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Supplemental information related to leases are as follows:</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4"/>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203"/>
        </w:trPr>
        <w:tc>
          <w:tcPr>
            <w:tcW w:w="5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7.25 %</w:t>
            </w:r>
          </w:p>
        </w:tc>
      </w:tr>
      <w:tr>
        <w:trPr>
          <w:trHeight w:val="732"/>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F-23</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
        </w:trPr>
        <w:tc>
          <w:tcPr>
            <w:tcW w:w="5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0000FF"/>
        </w:rPr>
        <w:t>Table of Contents</w:t>
      </w:r>
    </w:p>
    <w:tbl>
      <w:tblPr>
        <w:tblLayout w:type="fixed"/>
        <w:tblInd w:w="0" w:type="dxa"/>
        <w:tblCellMar>
          <w:top w:w="0" w:type="dxa"/>
          <w:left w:w="0" w:type="dxa"/>
          <w:bottom w:w="0" w:type="dxa"/>
          <w:right w:w="0" w:type="dxa"/>
        </w:tblCellMar>
      </w:tblPr>
      <w:tr>
        <w:trPr>
          <w:trHeight w:val="154"/>
        </w:trPr>
        <w:tc>
          <w:tcPr>
            <w:tcW w:w="1000" w:type="dxa"/>
            <w:vAlign w:val="bottom"/>
            <w:tcBorders>
              <w:top w:val="single" w:sz="8" w:color="0000FF"/>
            </w:tcBorders>
          </w:tcPr>
          <w:p>
            <w:pPr>
              <w:spacing w:after="0"/>
              <w:rPr>
                <w:sz w:val="13"/>
                <w:szCs w:val="13"/>
                <w:color w:val="auto"/>
              </w:rPr>
            </w:pPr>
          </w:p>
        </w:tc>
        <w:tc>
          <w:tcPr>
            <w:tcW w:w="8800" w:type="dxa"/>
            <w:vAlign w:val="bottom"/>
          </w:tcPr>
          <w:p>
            <w:pPr>
              <w:jc w:val="center"/>
              <w:ind w:left="409"/>
              <w:spacing w:after="0" w:line="155" w:lineRule="exact"/>
              <w:rPr>
                <w:sz w:val="20"/>
                <w:szCs w:val="20"/>
                <w:color w:val="auto"/>
              </w:rPr>
            </w:pPr>
            <w:r>
              <w:rPr>
                <w:rFonts w:ascii="Times New Roman" w:cs="Times New Roman" w:eastAsia="Times New Roman" w:hAnsi="Times New Roman"/>
                <w:sz w:val="14"/>
                <w:szCs w:val="14"/>
                <w:b w:val="1"/>
                <w:bCs w:val="1"/>
                <w:color w:val="auto"/>
              </w:rPr>
              <w:t>Serve Robotics Inc.</w:t>
            </w: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6"/>
        </w:trPr>
        <w:tc>
          <w:tcPr>
            <w:tcW w:w="1000" w:type="dxa"/>
            <w:vAlign w:val="bottom"/>
          </w:tcPr>
          <w:p>
            <w:pPr>
              <w:spacing w:after="0"/>
              <w:rPr>
                <w:sz w:val="16"/>
                <w:szCs w:val="16"/>
                <w:color w:val="auto"/>
              </w:rPr>
            </w:pPr>
          </w:p>
        </w:tc>
        <w:tc>
          <w:tcPr>
            <w:tcW w:w="880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77"/>
        </w:trPr>
        <w:tc>
          <w:tcPr>
            <w:tcW w:w="98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Future annual minimum payments under operating leases as of December 31, 2024, are as follows: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2"/>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8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811,919</w:t>
            </w:r>
          </w:p>
        </w:tc>
      </w:tr>
      <w:tr>
        <w:trPr>
          <w:trHeight w:val="19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658,770</w:t>
            </w: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462,028</w:t>
            </w:r>
          </w:p>
        </w:tc>
      </w:tr>
      <w:tr>
        <w:trPr>
          <w:trHeight w:val="196"/>
        </w:trPr>
        <w:tc>
          <w:tcPr>
            <w:tcW w:w="1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8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68,054</w:t>
            </w:r>
          </w:p>
        </w:tc>
      </w:tr>
      <w:tr>
        <w:trPr>
          <w:trHeight w:val="198"/>
        </w:trPr>
        <w:tc>
          <w:tcPr>
            <w:tcW w:w="9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undiscounted future cash flows</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2,000,771</w:t>
            </w:r>
          </w:p>
        </w:tc>
      </w:tr>
      <w:tr>
        <w:trPr>
          <w:trHeight w:val="196"/>
        </w:trPr>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(221,423)</w:t>
            </w:r>
          </w:p>
        </w:tc>
      </w:tr>
      <w:tr>
        <w:trPr>
          <w:trHeight w:val="223"/>
        </w:trPr>
        <w:tc>
          <w:tcPr>
            <w:tcW w:w="9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1,779,348</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Finance Lease – Failed Sales-Leaseback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November 2022, the Company entered into a lease agreement with Farnam Capital for its robot assets. As per ASC 842-40-25-1, the transaction was considered a failed sales-leaseback and therefore the lease was accounted for as a financing agreement. The equipment, subject to the lease agreement, is held as collateral. The net book value of such collateral is zero. The outstanding liability at December 31, 2024 was $564,383. The Company has the option to purchase the assets at the end of the lease for 45% of the original equipment cost.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Non-Cancellable Purchase Commitments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non-cancelable purchase commitments, which primarily relate to the manufacturing of robot assets and software and storage services. These purchase commitments are not recorded as liabilities on the consolidated balance sheet as of December 31, 2024 as the Company has not yet received the related services.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2024, the future annual minimum payments under the Company's non-cancelable purchase commitments were as follows:</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2"/>
        </w:trPr>
        <w:tc>
          <w:tcPr>
            <w:tcW w:w="9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tcBorders>
              <w:bottom w:val="single" w:sz="8" w:color="auto"/>
            </w:tcBorders>
          </w:tcPr>
          <w:p>
            <w:pPr>
              <w:spacing w:after="0"/>
              <w:rPr>
                <w:sz w:val="24"/>
                <w:szCs w:val="24"/>
                <w:color w:val="auto"/>
              </w:rPr>
            </w:pPr>
          </w:p>
        </w:tc>
      </w:tr>
      <w:tr>
        <w:trPr>
          <w:trHeight w:val="17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3,310,484</w:t>
            </w:r>
          </w:p>
        </w:tc>
      </w:tr>
      <w:tr>
        <w:trPr>
          <w:trHeight w:val="18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146,631</w:t>
            </w:r>
          </w:p>
        </w:tc>
      </w:tr>
      <w:tr>
        <w:trPr>
          <w:trHeight w:val="18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87,472</w:t>
            </w:r>
          </w:p>
        </w:tc>
      </w:tr>
      <w:tr>
        <w:trPr>
          <w:trHeight w:val="171"/>
        </w:trPr>
        <w:tc>
          <w:tcPr>
            <w:tcW w:w="9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future minimum payments</w:t>
            </w: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3,544,587</w:t>
            </w:r>
          </w:p>
        </w:tc>
      </w:tr>
      <w:tr>
        <w:trPr>
          <w:trHeight w:val="20"/>
        </w:trPr>
        <w:tc>
          <w:tcPr>
            <w:tcW w:w="9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31, 2021, the Company entered into a strategic non-cancellable supply agreement with a manufacturer of component parts used for the Company’s robot assets. The agreement was amended in January 2024, and increased the total purchase commitment of $6.83 million in purchases over a two-year period ending December 2025. As of December 31, 2024, the Company has $3.25 million in remaining commitment under this supply contract. The vendor has the right to invoice the Company for any shortfall at December 31, 2025 met. The Company has minimum spend agreements related to simulation software and storage services. The purchase commitments extend for a period of two to three years.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may be subject to pending legal proceedings and regulatory actions in the ordinary course of business. The results of such proceedings cannot be predicted with certainty, but the Company does not anticipate that the final outcome arising out of any such matters will have a material adverse effect on its business, financial condition or results of operations.</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SUBSEQUENT EVENTS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7, 2025, the Company entered into a securities purchase agreement with a certain institutional investor pursuant to which the Company agreed to issue and sell, in a registered direct offering an aggregate of 4,210,525 shares of the Company’s common stock, $0.0001 par value per share at a price of $19.00 per Share. The gross proceeds to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Serve Robotics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the Registered Direct Offering were approximately $80 million, before deducting the placement agents’ fees and other offering expenses payable by the Company.</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total of 573,574 warrant were exercised on January 3, 2025, and an additional 573,574 warrants were exercised on January 6, 2025. Total proceeds from both exercises were approximately $11.5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the supervision of and with the participation of our management, including our principal executive officer and our principal financial officer, we conducted an evaluation of the effectiveness of our disclosure controls and procedures as of December 31, 2024, the end of the period covered by this report on Form 10-K.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Based upon that evaluation, our Chief Executive Officer and Chief Financial Officer concluded that our disclosure controls and procedures are not effective.</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report does not include a report of management’s assessment regarding our internal control over financial reporting (as defined in Rule 13a-15(f) and 15d-15(f) under the Exchange Act) as allowed by the SEC for reverse acquisitions between an issuer and a private operating company when it is not possible to conduct an assessment of the private operating company’s internal control over financial reporting in the period between the consummation date of the reverse acquisition and the date of management’s assessment of internal control over financial reporting (pursuant to Section 215.02 of the SEC Division of Corporation Finance’s Regulation S-K Compliance &amp; Disclosure Interpretations).</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discussed elsewhere in this report, we consummated the Merger on July 31, 2023, pursuant to which we acquired Serve and its subsidiary. Prior to the Merger, we were a “shell company” (as defined in Rule 12b-2 under the Exchange Act). As a result, previously existing internal controls are no longer applicable or comprehensive enough as of the assessment date as our operations prior to the Merger were insignificant compared to those of the consolidated entity post-Merger. The design of our internal control over financial reporting following the 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If management were to conduct an assessment regarding our internal control over financial reporting, however, its scope would include the criteria set forth by the Internal Control Integrated Framework (2013) issued by the Committee of Sponsoring Organizations of the Treadway Commission. Based on an initial assessment, we concluded that our internal control over financial reporting was not effective as of December 31, 2024, because of the material weakness described below.</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Material Weaknesses in Internal Control Over Financial Reporting</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management did not conduct a formal assessment of internal control over financial reporting, in connection with the audits of our consolidated financial statements for the years ended December 31, 2024, and 2023, management has identified material weaknesses in internal control over financial reporting. Our size has prevented us from being able to employ sufficient resources to enable us to have an adequate level of supervision and segregation of duties. Therefore,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 which have resulted in material weaknesses in internal control over financial reporting as of December 31,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material weaknesses above did not result in a misstatement to the consolidated financial statements.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response, our management team has established a remediation plan to address the previously disclosed material weaknesses. During 2024, we hired more qualified personnel including a Chief Financial Officer, Corporate Controller, and VP of Security. Our plan during 2025 will include establishing more robust processes to support our internal control over financial reporting, which includes designing and implementing controls and processes to facilitate effective financial reporting, along with accurate documentation and timely support.</w:t>
      </w:r>
    </w:p>
    <w:p>
      <w:pPr>
        <w:spacing w:after="0" w:line="15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Company is committed to remediating the material weaknesses and the actions the Company is taking are subject to ongoing senior management review, as well as oversight from the Company’s Board of Directors. The Company will not be able to fully remediate these material weaknesses until these steps have been completed and operate effectively for a sufficient period of time. The Company may also identify additional measures that may be required to remediate the material weaknesses in the Company’s internal control over financial reporting, necessitating further action.</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Controls over Financial Reporting</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2024,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fiscal quarter ended December 31, 2024, no director or officer of the Company adopted or terminated a “Rule 10b5-1 trading arrangement” or a “non-Rule 10b5-1 trading arrangement” (in each case, as defined in Item 408 of Regulation 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regarding our executive officers and directors as of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0" w:type="dxa"/>
            <w:vAlign w:val="bottom"/>
          </w:tcPr>
          <w:p>
            <w:pPr>
              <w:spacing w:after="0"/>
              <w:rPr>
                <w:sz w:val="17"/>
                <w:szCs w:val="17"/>
                <w:color w:val="auto"/>
              </w:rPr>
            </w:pPr>
          </w:p>
        </w:tc>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196"/>
        </w:trPr>
        <w:tc>
          <w:tcPr>
            <w:tcW w:w="37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Ali Kashani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 and Chairman of the Board</w:t>
            </w:r>
          </w:p>
        </w:tc>
        <w:tc>
          <w:tcPr>
            <w:tcW w:w="0" w:type="dxa"/>
            <w:vAlign w:val="bottom"/>
          </w:tcPr>
          <w:p>
            <w:pPr>
              <w:spacing w:after="0"/>
              <w:rPr>
                <w:sz w:val="1"/>
                <w:szCs w:val="1"/>
                <w:color w:val="auto"/>
              </w:rPr>
            </w:pPr>
          </w:p>
        </w:tc>
      </w:tr>
      <w:tr>
        <w:trPr>
          <w:trHeight w:val="196"/>
        </w:trPr>
        <w:tc>
          <w:tcPr>
            <w:tcW w:w="370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Touraj Parang</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President, Chief Operating Officer and Director</w:t>
            </w:r>
          </w:p>
        </w:tc>
        <w:tc>
          <w:tcPr>
            <w:tcW w:w="0" w:type="dxa"/>
            <w:vAlign w:val="bottom"/>
          </w:tcPr>
          <w:p>
            <w:pPr>
              <w:spacing w:after="0"/>
              <w:rPr>
                <w:sz w:val="1"/>
                <w:szCs w:val="1"/>
                <w:color w:val="auto"/>
              </w:rPr>
            </w:pPr>
          </w:p>
        </w:tc>
      </w:tr>
      <w:tr>
        <w:trPr>
          <w:trHeight w:val="207"/>
        </w:trPr>
        <w:tc>
          <w:tcPr>
            <w:tcW w:w="370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Brian Read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c>
          <w:tcPr>
            <w:tcW w:w="1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398"/>
        </w:trPr>
        <w:tc>
          <w:tcPr>
            <w:tcW w:w="37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shd w:val="clear" w:color="auto" w:fill="CCEEFF"/>
              </w:rPr>
              <w:t>David Goldberg</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5"/>
                <w:shd w:val="clear" w:color="auto" w:fill="CCEEFF"/>
              </w:rPr>
              <w:t>(1)(2)</w:t>
            </w:r>
          </w:p>
        </w:tc>
        <w:tc>
          <w:tcPr>
            <w:tcW w:w="2460" w:type="dxa"/>
            <w:vAlign w:val="bottom"/>
            <w:gridSpan w:val="2"/>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c>
          <w:tcPr>
            <w:tcW w:w="100" w:type="dxa"/>
            <w:vAlign w:val="bottom"/>
            <w:shd w:val="clear" w:color="auto" w:fill="CCEEFF"/>
          </w:tcPr>
          <w:p>
            <w:pPr>
              <w:spacing w:after="0"/>
              <w:rPr>
                <w:sz w:val="11"/>
                <w:szCs w:val="11"/>
                <w:color w:val="auto"/>
              </w:rPr>
            </w:pPr>
          </w:p>
        </w:tc>
        <w:tc>
          <w:tcPr>
            <w:tcW w:w="6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58"/>
        </w:trPr>
        <w:tc>
          <w:tcPr>
            <w:tcW w:w="12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gridSpan w:val="3"/>
            <w:vMerge w:val="continue"/>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3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58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0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Sarfraz Maredia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shd w:val="clear" w:color="auto" w:fill="CCEEFF"/>
              </w:rPr>
              <w:t>Lily Sarafan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5"/>
                <w:shd w:val="clear" w:color="auto" w:fill="CCEEFF"/>
              </w:rPr>
              <w:t>(2)(3)</w:t>
            </w:r>
          </w:p>
        </w:tc>
        <w:tc>
          <w:tcPr>
            <w:tcW w:w="220" w:type="dxa"/>
            <w:vAlign w:val="bottom"/>
            <w:vMerge w:val="restart"/>
            <w:shd w:val="clear" w:color="auto" w:fill="CCEEFF"/>
          </w:tcPr>
          <w:p>
            <w:pPr>
              <w:spacing w:after="0"/>
              <w:rPr>
                <w:sz w:val="11"/>
                <w:szCs w:val="11"/>
                <w:color w:val="auto"/>
              </w:rPr>
            </w:pPr>
          </w:p>
        </w:tc>
        <w:tc>
          <w:tcPr>
            <w:tcW w:w="2460" w:type="dxa"/>
            <w:vAlign w:val="bottom"/>
            <w:gridSpan w:val="2"/>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100" w:type="dxa"/>
            <w:vAlign w:val="bottom"/>
            <w:shd w:val="clear" w:color="auto" w:fill="CCEEFF"/>
          </w:tcPr>
          <w:p>
            <w:pPr>
              <w:spacing w:after="0"/>
              <w:rPr>
                <w:sz w:val="11"/>
                <w:szCs w:val="11"/>
                <w:color w:val="auto"/>
              </w:rPr>
            </w:pPr>
          </w:p>
        </w:tc>
        <w:tc>
          <w:tcPr>
            <w:tcW w:w="6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58"/>
        </w:trPr>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gridSpan w:val="2"/>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23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58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70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Olivier Vincent</w:t>
            </w:r>
            <w:r>
              <w:rPr>
                <w:rFonts w:ascii="Times New Roman" w:cs="Times New Roman" w:eastAsia="Times New Roman" w:hAnsi="Times New Roman"/>
                <w:sz w:val="18"/>
                <w:szCs w:val="18"/>
                <w:color w:val="auto"/>
                <w:vertAlign w:val="superscript"/>
              </w:rPr>
              <w:t>(2)(3)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tcPr>
          <w:p>
            <w:pPr>
              <w:spacing w:after="0"/>
              <w:rPr>
                <w:sz w:val="21"/>
                <w:szCs w:val="21"/>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337"/>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w:t>
            </w:r>
          </w:p>
        </w:tc>
        <w:tc>
          <w:tcPr>
            <w:tcW w:w="34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Member of the nominating and governance committee.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w:t>
            </w:r>
          </w:p>
        </w:tc>
        <w:tc>
          <w:tcPr>
            <w:tcW w:w="34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Member of the audit committee.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w:t>
            </w:r>
          </w:p>
        </w:tc>
        <w:tc>
          <w:tcPr>
            <w:tcW w:w="34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Member of the compensation committee.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Officers</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Ali Kashani </w:t>
      </w:r>
      <w:r>
        <w:rPr>
          <w:rFonts w:ascii="Times New Roman" w:cs="Times New Roman" w:eastAsia="Times New Roman" w:hAnsi="Times New Roman"/>
          <w:sz w:val="14"/>
          <w:szCs w:val="14"/>
          <w:color w:val="auto"/>
        </w:rPr>
        <w:t>co-founded Serve Robotics Inc. in January 2021 and has served as its Chief Executive Officer and a member of the board of directors of Serve since then. Prior to co-founding Serve, 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Vice President of Postmates Inc., an on-demand food delivery platform, from July 2017 to January 2021. Dr. Kashani received both his Bachelor of Science in Computer Engineering and his Doctorate in Robotics from the University of British Columbia. Dr. Kashani has served on the Board since the Company’s formation, and we believe he is qualified to remain on the Board due to the institutional knowledge he brings as Co-Founder and Chief Executive Officer of the Company and his business and robotics experience.</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Touraj Parang </w:t>
      </w:r>
      <w:r>
        <w:rPr>
          <w:rFonts w:ascii="Times New Roman" w:cs="Times New Roman" w:eastAsia="Times New Roman" w:hAnsi="Times New Roman"/>
          <w:sz w:val="14"/>
          <w:szCs w:val="14"/>
          <w:color w:val="auto"/>
        </w:rPr>
        <w:t>has served as Serve’s Chief Operating Officer and as a member of the Board since March 2021, and was appointed President of Serve in July 2022. Prior to joining Serve, Mr. Parang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worked at GoDaddy Inc. (NYSE: GDDY) from May 2014 to March 2021, where he began as Senior Director of Corporate Development and most recently served as Vice President of Corporate Development.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Brian Read </w:t>
      </w:r>
      <w:r>
        <w:rPr>
          <w:rFonts w:ascii="Times New Roman" w:cs="Times New Roman" w:eastAsia="Times New Roman" w:hAnsi="Times New Roman"/>
          <w:sz w:val="14"/>
          <w:szCs w:val="14"/>
          <w:color w:val="auto"/>
        </w:rPr>
        <w:t>has served as Serve’s Chief Financial Officer since April 2024. Prior to Serve, Mr. Read served as a Controller for Apptronik Inc. from April 2023 to April 2024, as a Global Controller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REE Automotive Ltd. (Nasdaq: REE) from February 2021 to March 2023 and as an Assistant Global Controller at Coherent Corp. (NYSE: COHR) from January 2019 to January 2021. Mr. Read was also an associate and senior associate at PricewaterhouseCoopers LLP from July 2011 to January 2017. Mr. Read holds a Bachelor of Science in Business Administration (Accounting) from Duquesne University and is a Certified Public Accountant (Pennsylvania).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Non-Employee Directors</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David Goldberg </w:t>
      </w:r>
      <w:r>
        <w:rPr>
          <w:rFonts w:ascii="Times New Roman" w:cs="Times New Roman" w:eastAsia="Times New Roman" w:hAnsi="Times New Roman"/>
          <w:sz w:val="14"/>
          <w:szCs w:val="14"/>
          <w:color w:val="auto"/>
        </w:rPr>
        <w:t>has served as a member of Serve's Board since July 2024. Mr. Goldberg most recently served as a consultant to our Company from September 2023 to March of 2024. He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currently a Vice President at Magna International. Prior to that, he was the Chief Financial Officer of REE Automotive, Ltd. (Nasdaq: REE), an electric vehicle developer and manufacturer, from February 2022 to March 2023. Before joining REE Automotive, Mr. Goldberg had various roles at Magna International, including SVP – Corporate Development from January 2021 to January 2022 and VP – Finance and Corporate Development from May 2018 to December 2020. Mr. Goldberg has a degree in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Administration from the Ivey Business School at Western University. We believe that Mr. Goldberg is qualified to serve on our board of directors due to his experience and expertise in the automotive and mobility industries.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Sarfraz Maredia </w:t>
      </w:r>
      <w:r>
        <w:rPr>
          <w:rFonts w:ascii="Times New Roman" w:cs="Times New Roman" w:eastAsia="Times New Roman" w:hAnsi="Times New Roman"/>
          <w:sz w:val="14"/>
          <w:szCs w:val="14"/>
          <w:color w:val="auto"/>
        </w:rPr>
        <w:t>has served as a member of Serve's Board since July 2023. Since September 2014, Mr. Maredia has been employed at Uber, most recently as Vice President for Delivery and Head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Americas at Uber, where he leads the largest segment of Uber Eats’ marketplace business across the United States, Canada, and Latin America as well as overseeing Postmates. In September 2011, Mr. Maredia joined IQVIA (formerly IMS Health), a global information and technology services company focused on healthcare,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the Board.</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Lily Sarafan </w:t>
      </w:r>
      <w:r>
        <w:rPr>
          <w:rFonts w:ascii="Times New Roman" w:cs="Times New Roman" w:eastAsia="Times New Roman" w:hAnsi="Times New Roman"/>
          <w:sz w:val="14"/>
          <w:szCs w:val="14"/>
          <w:color w:val="auto"/>
        </w:rPr>
        <w:t>has served as a member of Serve's Board since December 2024. In 2005, Ms. Sarafan co-founded TheKey, one of the largest and most trusted in-home care provider networks, where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she served as chief executive through December 2020, and since then has served as executive chair. She has been recognized as an EY Entrepreneur of the Year, a Fortune 40 Under 40, Women Health Care Executives' Woman of the Year, and a Henry Crown Fellow of the Aspen Institute. Ms. Sarafan currently serves on the boards of Instacart (Nasdaq: CART), Thumbtack and Kyo, as well as on the board of trustees of Stanford University. Ms. Sarafan holds an M.S. in Management Science and Engineering and a B.S. in Science, Technology, and Society from Stanford University.</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Olivier Vincent </w:t>
      </w:r>
      <w:r>
        <w:rPr>
          <w:rFonts w:ascii="Times New Roman" w:cs="Times New Roman" w:eastAsia="Times New Roman" w:hAnsi="Times New Roman"/>
          <w:sz w:val="14"/>
          <w:szCs w:val="14"/>
          <w:color w:val="auto"/>
        </w:rPr>
        <w:t>has served as a member of our Board since July 2023. Mr. Vincent co-founded and has served as Chief Executive Officer of Autozen Technology Ltd., a marketplace start-up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due to his experience growing and managing technology companies.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Appointment of Officers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executive officers are appointed by, and serve at the discretion of, our Board provided, however, that the Board may empower the Chief Executive Officer of the Company to appoint any officer other than the Chief Executive Officer, the President, the Chief Financial Officer or the Treasurer.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Composition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currently consists of six members: David Goldberg, Ali Kashani, Sarfraz Maredia, Touraj Parang, Lily Sarafan and Olivier Vincent.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our current directors will continue to serve until the election and qualification of his or her successor, or his or her earlier death, resignation, disqualification or removal.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Classified Board of Directors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Board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spacing w:after="0" w:line="104" w:lineRule="exact"/>
        <w:rPr>
          <w:sz w:val="20"/>
          <w:szCs w:val="20"/>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are Sarfraz Maredia and David Goldberg, and their terms will expire at the 2027 annual meeting of stockholders;</w:t>
      </w:r>
    </w:p>
    <w:p>
      <w:pPr>
        <w:spacing w:after="0" w:line="200" w:lineRule="exact"/>
        <w:rPr>
          <w:rFonts w:ascii="Times New Roman" w:cs="Times New Roman" w:eastAsia="Times New Roman" w:hAnsi="Times New Roman"/>
          <w:sz w:val="14"/>
          <w:szCs w:val="14"/>
          <w:color w:val="auto"/>
        </w:rPr>
      </w:pPr>
    </w:p>
    <w:p>
      <w:pPr>
        <w:spacing w:after="0" w:line="286"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are Lily Sarafan and Olivier Vincent, and their terms will expire at the 2025 annual meeting of stockholders; and</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are Ali Kashani and Touraj Parang, and their terms will expire at the 2026 annual meeting of stockholders.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to fill vacancies on the Board. Any increase or decrease in the number of directors will be distributed among the three classes so that, as nearly as possible, each class will consist of one-third of the directors. This classification of our Board may have the effect of delaying or preventing changes in control of our Company.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 Independence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evaluate independence by the standards for director independence set forth in Nasdaq’s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such rules, our Board has determined that all members of the Board except Ali Kashani and Touraj Parang are independent directors. In making such independence determination, our Board considered the relationships that each non-employee director has with us and all other facts and circumstances that our Board deemed relevant in determining their independence, including the beneficial ownership of our capital stock by each non-employee director.</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Our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determined that Messrs. Jordan, Maredia, Pourdad and Vincent are “independent directors” as defined under the applicable rules and regulations of the SEC and the listing requirements and rules of Nasdaq. In making these determinations, our Board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w:t>
      </w:r>
      <w:r>
        <w:rPr>
          <w:rFonts w:ascii="Times New Roman" w:cs="Times New Roman" w:eastAsia="Times New Roman" w:hAnsi="Times New Roman"/>
          <w:sz w:val="14"/>
          <w:szCs w:val="14"/>
          <w:i w:val="1"/>
          <w:iCs w:val="1"/>
          <w:color w:val="auto"/>
        </w:rPr>
        <w:t>Part III, Item 13. Certain Relationships and Related Transactions,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Director Independence </w:t>
      </w:r>
      <w:r>
        <w:rPr>
          <w:rFonts w:ascii="Times New Roman" w:cs="Times New Roman" w:eastAsia="Times New Roman" w:hAnsi="Times New Roman"/>
          <w:sz w:val="14"/>
          <w:szCs w:val="14"/>
          <w:color w:val="auto"/>
        </w:rPr>
        <w:t>of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family relationships by between or among the members of the Board or other executive officers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Committees of the Board of Directors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Board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 committee is composed of Mr. Goldberg, Ms. Sarafan and Mr. Vincent. Mr. Goldberg is the chair of our audit committee. Each member of our audit committee is financially literate. Our Board has determined that each member of our audit committee is independent within the meaning of the Nasdaq director independence standards and applicable rules of the SEC for audit committee members. Our Board has also determined that Mr. Goldberg qualifies as an “audit committee financial expert” under the rules of the SEC.</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primary purpose of our audit committee is to discharge the responsibilities of the Board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spacing w:after="0" w:line="92" w:lineRule="exact"/>
        <w:rPr>
          <w:sz w:val="20"/>
          <w:szCs w:val="20"/>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helping the Board oversee our corporate accounting and financial reporting processes;</w:t>
      </w:r>
    </w:p>
    <w:p>
      <w:pPr>
        <w:spacing w:after="0" w:line="157"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the selection, engagement, qualifications, independence, and performance of a qualified firm to serve as the independent registered public accounting firm to audit our financial statements;</w:t>
      </w:r>
    </w:p>
    <w:p>
      <w:pPr>
        <w:spacing w:after="0" w:line="92"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the scope and results of the audit with the independent registered public accounting firm, and reviewing, with management and the independent accountants, our interim and year-end operating results;</w:t>
      </w:r>
    </w:p>
    <w:p>
      <w:pPr>
        <w:spacing w:after="0" w:line="92"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10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employees to submit concerns anonymously about questionable accounting or audit matters;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policies on risk assessment and risk management;</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compliance with our code of business conduct and ethics;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person transactions; and</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as required, pre-approving audit and permissible non-audit services to be performed by the independent registered public accounting firm.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compensation committee is composed of Ms. Sarafan and Mr. Vincent. Mr. Vincent is the chair of our compensation committee. 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spacing w:after="0" w:line="104" w:lineRule="exact"/>
        <w:rPr>
          <w:sz w:val="20"/>
          <w:szCs w:val="20"/>
          <w:color w:val="auto"/>
        </w:rPr>
      </w:pPr>
    </w:p>
    <w:p>
      <w:pPr>
        <w:ind w:left="760" w:hanging="246"/>
        <w:spacing w:after="0" w:line="287" w:lineRule="auto"/>
        <w:tabs>
          <w:tab w:leader="none" w:pos="7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determining, or making recommendations to the Board regarding, the compensation of our chief executive officer, other executive officers and senior management;</w:t>
      </w:r>
    </w:p>
    <w:p>
      <w:pPr>
        <w:spacing w:after="0" w:line="9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evaluating and recommending to the Board succession plans for our executive officers;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the Board the compensation paid to our non-employee directors;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 incentive plans and other benefit programs;</w:t>
      </w:r>
    </w:p>
    <w:p>
      <w:pPr>
        <w:spacing w:after="0" w:line="146"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0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general policies relating to compensation and benefits of our employees, including our overall compensation philosophy.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Each member of our compensation committee is a non-employee director as defined in Rule 16b-3 of the Exchange Act. Our Board has also determined that each member of our compensation committee is also an independent director within the meanings of Nasdaq’s director independence standards and applicable SEC rules.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Nominating and Governance Committee</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nominating and governance committee is composed of David Goldberg who also serves as the chair of our nominating and governance committee. Our nominating and governance committee’s principal functions include, among other things:</w:t>
      </w:r>
    </w:p>
    <w:p>
      <w:pPr>
        <w:spacing w:after="0" w:line="92" w:lineRule="exact"/>
        <w:rPr>
          <w:sz w:val="20"/>
          <w:szCs w:val="20"/>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evaluating candidates, including the nomination of incumbent directors for reelection and nominees recommended by stockholders, to serve on the Board;</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the Board regarding the composition and chairmanship of the committees of the Board;</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instituting plans or programs for the continuing education of the Board and the orientation of new directors;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the Board regarding corporate governance guidelines and matters;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corporate governance practices;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periodic evaluations of the Board’s performance, including committees of the Board; and</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contributing to succession planning.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Board has adopted a Code of Business Conduct and Ethics that applies to all of our directors, officers and employees, including our principal executive officer, principal financial officer, principal accounting officer or controller, or persons performing similar functions. The Code of Business Conduct and Ethics is available under the “Investors” tab of our website at https://www.serverobotics.com/investors. In addition, we intend to post under the “Investors” tab on our website all disclosures that are required by law relating to any amendments to, or waivers from, any provision of the Code of Business Conduct and Ethics.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Delinquent Section 16(a) Reports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our knowledge, based solely upon a review of Forms 3, 4, and 5 filed with the SEC during the fiscal year ended December 31, 2024, we believe that our directors, executive officers, and greater than 10% beneficial owners have complied with all applicable filing requirements during the fiscal year ended December 31, 2024, except for the following.</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53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Reporting Person</w:t>
            </w:r>
          </w:p>
        </w:tc>
        <w:tc>
          <w:tcPr>
            <w:tcW w:w="2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 of Report Filed Late</w:t>
            </w:r>
          </w:p>
        </w:tc>
        <w:tc>
          <w:tcPr>
            <w:tcW w:w="29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Transactions Reported Late</w:t>
            </w:r>
          </w:p>
        </w:tc>
        <w:tc>
          <w:tcPr>
            <w:tcW w:w="20" w:type="dxa"/>
            <w:vAlign w:val="bottom"/>
          </w:tcPr>
          <w:p>
            <w:pPr>
              <w:spacing w:after="0"/>
              <w:rPr>
                <w:sz w:val="17"/>
                <w:szCs w:val="17"/>
                <w:color w:val="auto"/>
              </w:rPr>
            </w:pPr>
          </w:p>
        </w:tc>
      </w:tr>
      <w:tr>
        <w:trPr>
          <w:trHeight w:val="22"/>
        </w:trPr>
        <w:tc>
          <w:tcPr>
            <w:tcW w:w="5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5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NVIDIA Corporation</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3</w:t>
            </w:r>
          </w:p>
        </w:tc>
        <w:tc>
          <w:tcPr>
            <w:tcW w:w="2980" w:type="dxa"/>
            <w:vAlign w:val="bottom"/>
            <w:tcBorders>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8"/>
                <w:szCs w:val="8"/>
                <w:color w:val="auto"/>
              </w:rPr>
              <w:t>(1)</w:t>
            </w:r>
          </w:p>
        </w:tc>
        <w:tc>
          <w:tcPr>
            <w:tcW w:w="20" w:type="dxa"/>
            <w:vAlign w:val="bottom"/>
          </w:tcPr>
          <w:p>
            <w:pPr>
              <w:spacing w:after="0"/>
              <w:rPr>
                <w:sz w:val="17"/>
                <w:szCs w:val="17"/>
                <w:color w:val="auto"/>
              </w:rPr>
            </w:pPr>
          </w:p>
        </w:tc>
      </w:tr>
      <w:tr>
        <w:trPr>
          <w:trHeight w:val="203"/>
        </w:trPr>
        <w:tc>
          <w:tcPr>
            <w:tcW w:w="5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NVIDIA Corporation</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4</w:t>
            </w:r>
          </w:p>
        </w:tc>
        <w:tc>
          <w:tcPr>
            <w:tcW w:w="2980" w:type="dxa"/>
            <w:vAlign w:val="bottom"/>
            <w:tcBorders>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8"/>
                <w:szCs w:val="8"/>
                <w:color w:val="auto"/>
              </w:rPr>
              <w:t>(2)</w:t>
            </w:r>
          </w:p>
        </w:tc>
        <w:tc>
          <w:tcPr>
            <w:tcW w:w="20" w:type="dxa"/>
            <w:vAlign w:val="bottom"/>
          </w:tcPr>
          <w:p>
            <w:pPr>
              <w:spacing w:after="0"/>
              <w:rPr>
                <w:sz w:val="17"/>
                <w:szCs w:val="17"/>
                <w:color w:val="auto"/>
              </w:rPr>
            </w:pPr>
          </w:p>
        </w:tc>
      </w:tr>
      <w:tr>
        <w:trPr>
          <w:trHeight w:val="203"/>
        </w:trPr>
        <w:tc>
          <w:tcPr>
            <w:tcW w:w="5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Ali Kashani</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4</w:t>
            </w:r>
          </w:p>
        </w:tc>
        <w:tc>
          <w:tcPr>
            <w:tcW w:w="2980" w:type="dxa"/>
            <w:vAlign w:val="bottom"/>
            <w:tcBorders>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8"/>
                <w:szCs w:val="8"/>
                <w:color w:val="auto"/>
              </w:rPr>
              <w:t>(3)</w:t>
            </w:r>
          </w:p>
        </w:tc>
        <w:tc>
          <w:tcPr>
            <w:tcW w:w="20" w:type="dxa"/>
            <w:vAlign w:val="bottom"/>
          </w:tcPr>
          <w:p>
            <w:pPr>
              <w:spacing w:after="0"/>
              <w:rPr>
                <w:sz w:val="17"/>
                <w:szCs w:val="17"/>
                <w:color w:val="auto"/>
              </w:rPr>
            </w:pPr>
          </w:p>
        </w:tc>
      </w:tr>
      <w:tr>
        <w:trPr>
          <w:trHeight w:val="203"/>
        </w:trPr>
        <w:tc>
          <w:tcPr>
            <w:tcW w:w="5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Touraj Parang</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4</w:t>
            </w:r>
          </w:p>
        </w:tc>
        <w:tc>
          <w:tcPr>
            <w:tcW w:w="2980" w:type="dxa"/>
            <w:vAlign w:val="bottom"/>
            <w:tcBorders>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8"/>
                <w:szCs w:val="8"/>
                <w:color w:val="auto"/>
              </w:rPr>
              <w:t>(4)</w:t>
            </w:r>
          </w:p>
        </w:tc>
        <w:tc>
          <w:tcPr>
            <w:tcW w:w="20" w:type="dxa"/>
            <w:vAlign w:val="bottom"/>
          </w:tcPr>
          <w:p>
            <w:pPr>
              <w:spacing w:after="0"/>
              <w:rPr>
                <w:sz w:val="17"/>
                <w:szCs w:val="17"/>
                <w:color w:val="auto"/>
              </w:rPr>
            </w:pPr>
          </w:p>
        </w:tc>
      </w:tr>
      <w:tr>
        <w:trPr>
          <w:trHeight w:val="203"/>
        </w:trPr>
        <w:tc>
          <w:tcPr>
            <w:tcW w:w="5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Euan Abraham</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4</w:t>
            </w:r>
          </w:p>
        </w:tc>
        <w:tc>
          <w:tcPr>
            <w:tcW w:w="2980" w:type="dxa"/>
            <w:vAlign w:val="bottom"/>
            <w:tcBorders>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8"/>
                <w:szCs w:val="8"/>
                <w:color w:val="auto"/>
              </w:rPr>
              <w:t>(5)</w:t>
            </w:r>
          </w:p>
        </w:tc>
        <w:tc>
          <w:tcPr>
            <w:tcW w:w="20" w:type="dxa"/>
            <w:vAlign w:val="bottom"/>
          </w:tcPr>
          <w:p>
            <w:pPr>
              <w:spacing w:after="0"/>
              <w:rPr>
                <w:sz w:val="17"/>
                <w:szCs w:val="17"/>
                <w:color w:val="auto"/>
              </w:rPr>
            </w:pPr>
          </w:p>
        </w:tc>
      </w:tr>
      <w:tr>
        <w:trPr>
          <w:trHeight w:val="203"/>
        </w:trPr>
        <w:tc>
          <w:tcPr>
            <w:tcW w:w="5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James Buckly Jordan</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4</w:t>
            </w:r>
          </w:p>
        </w:tc>
        <w:tc>
          <w:tcPr>
            <w:tcW w:w="2980" w:type="dxa"/>
            <w:vAlign w:val="bottom"/>
            <w:tcBorders>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8"/>
                <w:szCs w:val="8"/>
                <w:color w:val="auto"/>
              </w:rPr>
              <w:t>(6)</w:t>
            </w:r>
          </w:p>
        </w:tc>
        <w:tc>
          <w:tcPr>
            <w:tcW w:w="20" w:type="dxa"/>
            <w:vAlign w:val="bottom"/>
          </w:tcPr>
          <w:p>
            <w:pPr>
              <w:spacing w:after="0"/>
              <w:rPr>
                <w:sz w:val="17"/>
                <w:szCs w:val="17"/>
                <w:color w:val="auto"/>
              </w:rPr>
            </w:pPr>
          </w:p>
        </w:tc>
      </w:tr>
      <w:tr>
        <w:trPr>
          <w:trHeight w:val="701"/>
        </w:trPr>
        <w:tc>
          <w:tcPr>
            <w:tcW w:w="5340" w:type="dxa"/>
            <w:vAlign w:val="bottom"/>
          </w:tcPr>
          <w:p>
            <w:pPr>
              <w:spacing w:after="0"/>
              <w:rPr>
                <w:sz w:val="24"/>
                <w:szCs w:val="24"/>
                <w:color w:val="auto"/>
              </w:rPr>
            </w:pPr>
          </w:p>
        </w:tc>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64</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34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2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53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Olivier Vincent</w:t>
            </w:r>
          </w:p>
        </w:tc>
        <w:tc>
          <w:tcPr>
            <w:tcW w:w="2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4</w:t>
            </w:r>
          </w:p>
        </w:tc>
        <w:tc>
          <w:tcPr>
            <w:tcW w:w="2980" w:type="dxa"/>
            <w:vAlign w:val="bottom"/>
            <w:tcBorders>
              <w:top w:val="single" w:sz="8" w:color="auto"/>
              <w:right w:val="single" w:sz="8" w:color="auto"/>
            </w:tcBorders>
          </w:tcPr>
          <w:p>
            <w:pPr>
              <w:jc w:val="right"/>
              <w:ind w:right="2829"/>
              <w:spacing w:after="0"/>
              <w:rPr>
                <w:sz w:val="20"/>
                <w:szCs w:val="20"/>
                <w:color w:val="auto"/>
              </w:rPr>
            </w:pPr>
            <w:r>
              <w:rPr>
                <w:rFonts w:ascii="Times New Roman" w:cs="Times New Roman" w:eastAsia="Times New Roman" w:hAnsi="Times New Roman"/>
                <w:sz w:val="14"/>
                <w:szCs w:val="14"/>
                <w:color w:val="auto"/>
                <w:w w:val="85"/>
              </w:rPr>
              <w:t>1</w:t>
            </w:r>
          </w:p>
        </w:tc>
      </w:tr>
      <w:tr>
        <w:trPr>
          <w:trHeight w:val="22"/>
        </w:trPr>
        <w:tc>
          <w:tcPr>
            <w:tcW w:w="5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53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Ali Pourdad</w:t>
            </w: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4</w:t>
            </w:r>
          </w:p>
        </w:tc>
        <w:tc>
          <w:tcPr>
            <w:tcW w:w="2980" w:type="dxa"/>
            <w:vAlign w:val="bottom"/>
            <w:tcBorders>
              <w:right w:val="single" w:sz="8" w:color="auto"/>
            </w:tcBorders>
          </w:tcPr>
          <w:p>
            <w:pPr>
              <w:jc w:val="right"/>
              <w:ind w:right="2829"/>
              <w:spacing w:after="0"/>
              <w:rPr>
                <w:sz w:val="20"/>
                <w:szCs w:val="20"/>
                <w:color w:val="auto"/>
              </w:rPr>
            </w:pPr>
            <w:r>
              <w:rPr>
                <w:rFonts w:ascii="Times New Roman" w:cs="Times New Roman" w:eastAsia="Times New Roman" w:hAnsi="Times New Roman"/>
                <w:sz w:val="14"/>
                <w:szCs w:val="14"/>
                <w:color w:val="auto"/>
                <w:w w:val="85"/>
              </w:rPr>
              <w:t>1</w:t>
            </w:r>
          </w:p>
        </w:tc>
      </w:tr>
      <w:tr>
        <w:trPr>
          <w:trHeight w:val="22"/>
        </w:trPr>
        <w:tc>
          <w:tcPr>
            <w:tcW w:w="5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Form 3 filed on July 18, 2024.</w:t>
      </w:r>
    </w:p>
    <w:p>
      <w:pPr>
        <w:spacing w:after="0" w:line="16"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Form 4 filed on July 18, 2024.</w:t>
      </w:r>
    </w:p>
    <w:p>
      <w:pPr>
        <w:spacing w:after="0" w:line="8" w:lineRule="exact"/>
        <w:rPr>
          <w:rFonts w:ascii="Times New Roman" w:cs="Times New Roman" w:eastAsia="Times New Roman" w:hAnsi="Times New Roman"/>
          <w:sz w:val="17"/>
          <w:szCs w:val="17"/>
          <w:color w:val="auto"/>
        </w:rPr>
      </w:pPr>
    </w:p>
    <w:p>
      <w:pPr>
        <w:ind w:left="520" w:hanging="260"/>
        <w:spacing w:after="0" w:line="237"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Form 4 filed on September 6, 2024.</w:t>
      </w:r>
    </w:p>
    <w:p>
      <w:pPr>
        <w:spacing w:after="0" w:line="8" w:lineRule="exact"/>
        <w:rPr>
          <w:rFonts w:ascii="Times New Roman" w:cs="Times New Roman" w:eastAsia="Times New Roman" w:hAnsi="Times New Roman"/>
          <w:sz w:val="17"/>
          <w:szCs w:val="17"/>
          <w:color w:val="auto"/>
        </w:rPr>
      </w:pPr>
    </w:p>
    <w:p>
      <w:pPr>
        <w:ind w:left="520" w:hanging="260"/>
        <w:spacing w:after="0" w:line="237"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Form 4 filed on September 6, 2024.</w:t>
      </w:r>
    </w:p>
    <w:p>
      <w:pPr>
        <w:spacing w:after="0" w:line="8" w:lineRule="exact"/>
        <w:rPr>
          <w:rFonts w:ascii="Times New Roman" w:cs="Times New Roman" w:eastAsia="Times New Roman" w:hAnsi="Times New Roman"/>
          <w:sz w:val="17"/>
          <w:szCs w:val="17"/>
          <w:color w:val="auto"/>
        </w:rPr>
      </w:pPr>
    </w:p>
    <w:p>
      <w:pPr>
        <w:ind w:left="520" w:hanging="260"/>
        <w:spacing w:after="0" w:line="237"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Form 4 filed on September 6, 2024.</w:t>
      </w:r>
    </w:p>
    <w:p>
      <w:pPr>
        <w:spacing w:after="0" w:line="8" w:lineRule="exact"/>
        <w:rPr>
          <w:rFonts w:ascii="Times New Roman" w:cs="Times New Roman" w:eastAsia="Times New Roman" w:hAnsi="Times New Roman"/>
          <w:sz w:val="17"/>
          <w:szCs w:val="17"/>
          <w:color w:val="auto"/>
        </w:rPr>
      </w:pPr>
    </w:p>
    <w:p>
      <w:pPr>
        <w:ind w:left="520" w:hanging="260"/>
        <w:spacing w:after="0" w:line="237"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Form 4 filed on December 6, 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Information with respect to the Company’s directors and executive officers after the closing of the Merger is described in the </w:t>
      </w:r>
      <w:r>
        <w:rPr>
          <w:rFonts w:ascii="Times New Roman" w:cs="Times New Roman" w:eastAsia="Times New Roman" w:hAnsi="Times New Roman"/>
          <w:sz w:val="14"/>
          <w:szCs w:val="14"/>
          <w:i w:val="1"/>
          <w:iCs w:val="1"/>
          <w:color w:val="auto"/>
        </w:rPr>
        <w:t>Part III, Item 10. Directors, Executive Officers and Corporate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Governance </w:t>
      </w:r>
      <w:r>
        <w:rPr>
          <w:rFonts w:ascii="Times New Roman" w:cs="Times New Roman" w:eastAsia="Times New Roman" w:hAnsi="Times New Roman"/>
          <w:sz w:val="14"/>
          <w:szCs w:val="14"/>
          <w:color w:val="auto"/>
        </w:rPr>
        <w:t>of this report.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 Compensation Policy</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22, 2024, we adopted our Amended and Restated Outside Director Compensation Policy (the “Director Compensation Policy”), effective as of November 22, 2024, pursuant to which we pay each non-employee director annual cash retainers and equity awards, as further described below.</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Pursuant to the Director Compensation Policy, each non-employee director is entitled to receive an annual cash retainer for service on the Board and an additional annual cash retainer for service on each committee on which the non-employee director is a member. All annual cash retainers are paid quarterly in arrears. In addition, James Buckly Jordan, Ali Pourdad and Olivier Vincent each received an initial cash compensation in the amount of $11,250 on March 31, 2024. No compensation had previously been paid to our non-employee directors.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fees paid to non-employee directors for service on the Board and for service on each committee of the Board of which the non-employee director is a member are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Board Member Service Retainer</w:t>
      </w:r>
    </w:p>
    <w:p>
      <w:pPr>
        <w:spacing w:after="0" w:line="149" w:lineRule="exact"/>
        <w:rPr>
          <w:sz w:val="20"/>
          <w:szCs w:val="20"/>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non-employee directors: $20,000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Committee Member Service Retainer</w:t>
      </w:r>
    </w:p>
    <w:p>
      <w:pPr>
        <w:spacing w:after="0" w:line="149" w:lineRule="exact"/>
        <w:rPr>
          <w:sz w:val="20"/>
          <w:szCs w:val="20"/>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 $5,000</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 $5,000</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 $5,000</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Director Compensation Policy provides that at each annual stockholder meeting following a non-employee director’s appointment to the Board and subject to such non-employee director’s service on the Board since December 31st of the calendar year prior to such annual meeting, each non-employee director will be granted an award of 20,000 restricted stock units under the 2023 Plan, which will vest in full upon the earlier of the first anniversary of the date of grant or the next annual stockholder meeting, subject to the applicable non-employee director’s continuous service through the applicable vesting date; provided that if we do not have an effective Form S-8 registration statement on file with the SEC with sufficient shares available to cover the applicable equity award as of the date such award is granted (an “Effective S-8”), the grant of such equity award shall be delayed until such time there is an Effective S-8.</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Notwithstanding the foregoing, for each non-employee director who remains in continuous service as a member of our Board until immediately prior to the consummation of a change in control, any unvested portion of an equity award granted in consideration of such non-employee director’s service as a member of our Board will vest in full immediately prior to, and contingent upon, the consummation of a change in control.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 Table</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following table sets forth certain information concerning compensation earned by the Company’s non-employee directors for services rendered as a director during the year ended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Nonqualified deferred</w:t>
            </w: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Fees earned or paid</w:t>
            </w:r>
          </w:p>
        </w:tc>
        <w:tc>
          <w:tcPr>
            <w:tcW w:w="260" w:type="dxa"/>
            <w:vAlign w:val="bottom"/>
          </w:tcPr>
          <w:p>
            <w:pPr>
              <w:spacing w:after="0"/>
              <w:rPr>
                <w:sz w:val="12"/>
                <w:szCs w:val="12"/>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Stock Awards ($)</w:t>
            </w:r>
          </w:p>
        </w:tc>
        <w:tc>
          <w:tcPr>
            <w:tcW w:w="2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Option Awards ($)</w:t>
            </w:r>
          </w:p>
        </w:tc>
        <w:tc>
          <w:tcPr>
            <w:tcW w:w="260" w:type="dxa"/>
            <w:vAlign w:val="bottom"/>
          </w:tcPr>
          <w:p>
            <w:pPr>
              <w:spacing w:after="0"/>
              <w:rPr>
                <w:sz w:val="12"/>
                <w:szCs w:val="12"/>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Non-equity incentive</w:t>
            </w: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compensation earnings All other compensation</w:t>
            </w:r>
          </w:p>
        </w:tc>
        <w:tc>
          <w:tcPr>
            <w:tcW w:w="920" w:type="dxa"/>
            <w:vAlign w:val="bottom"/>
          </w:tcPr>
          <w:p>
            <w:pPr>
              <w:spacing w:after="0"/>
              <w:rPr>
                <w:sz w:val="12"/>
                <w:szCs w:val="12"/>
                <w:color w:val="auto"/>
              </w:rPr>
            </w:pPr>
          </w:p>
        </w:tc>
      </w:tr>
      <w:tr>
        <w:trPr>
          <w:trHeight w:val="186"/>
        </w:trPr>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2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cash ($)</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plan compensation ($)</w:t>
            </w:r>
          </w:p>
        </w:tc>
        <w:tc>
          <w:tcPr>
            <w:tcW w:w="16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 ($)</w:t>
            </w:r>
          </w:p>
        </w:tc>
      </w:tr>
      <w:tr>
        <w:trPr>
          <w:trHeight w:val="190"/>
        </w:trPr>
        <w:tc>
          <w:tcPr>
            <w:tcW w:w="1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shd w:val="clear" w:color="auto" w:fill="CCEEFF"/>
              </w:rPr>
              <w:t>David Goldberg</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188,225</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433,100</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621,325</w:t>
            </w:r>
          </w:p>
        </w:tc>
      </w:tr>
      <w:tr>
        <w:trPr>
          <w:trHeight w:val="191"/>
        </w:trPr>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Sarfraz Maredia</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134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2"/>
        </w:trPr>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2"/>
                <w:shd w:val="clear" w:color="auto" w:fill="CCEEFF"/>
              </w:rPr>
              <w:t>Lily Sarafan</w:t>
            </w:r>
          </w:p>
        </w:tc>
        <w:tc>
          <w:tcPr>
            <w:tcW w:w="46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2,201</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173,600</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175,801</w:t>
            </w:r>
          </w:p>
        </w:tc>
      </w:tr>
      <w:tr>
        <w:trPr>
          <w:trHeight w:val="191"/>
        </w:trPr>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Olivier Vincent</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30,000</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(5)</w:t>
            </w:r>
          </w:p>
        </w:tc>
        <w:tc>
          <w:tcPr>
            <w:tcW w:w="134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71,200</w:t>
            </w:r>
          </w:p>
        </w:tc>
      </w:tr>
      <w:tr>
        <w:trPr>
          <w:trHeight w:val="22"/>
        </w:trPr>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1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shd w:val="clear" w:color="auto" w:fill="CCEEFF"/>
              </w:rPr>
              <w:t>James Buckly Jordan</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27,799</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41,200</w:t>
            </w:r>
          </w:p>
        </w:tc>
        <w:tc>
          <w:tcPr>
            <w:tcW w:w="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(6)</w:t>
            </w:r>
          </w:p>
        </w:tc>
        <w:tc>
          <w:tcPr>
            <w:tcW w:w="13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68,999</w:t>
            </w:r>
          </w:p>
        </w:tc>
      </w:tr>
      <w:tr>
        <w:trPr>
          <w:trHeight w:val="191"/>
        </w:trPr>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Ali Pourdad</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16,775</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(7)</w:t>
            </w:r>
          </w:p>
        </w:tc>
        <w:tc>
          <w:tcPr>
            <w:tcW w:w="134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57,975</w:t>
            </w:r>
          </w:p>
        </w:tc>
      </w:tr>
    </w:tbl>
    <w:p>
      <w:pPr>
        <w:spacing w:after="0" w:line="156" w:lineRule="exact"/>
        <w:rPr>
          <w:sz w:val="20"/>
          <w:szCs w:val="20"/>
          <w:color w:val="auto"/>
        </w:rPr>
      </w:pPr>
    </w:p>
    <w:p>
      <w:pPr>
        <w:ind w:left="260" w:hanging="255"/>
        <w:spacing w:after="0" w:line="270" w:lineRule="auto"/>
        <w:tabs>
          <w:tab w:leader="none" w:pos="2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reflected in this column represent the grant date fair value of restricted stock units. The grant date fair value is measured based on the closing price of our common stock on the date of grant in accordance with FASB ASC Topic 718. The valuation methodology and assumptions used in determining such amounts are described in Note 7 of the Company’s financial statements for the year ended December 31, 2024.</w:t>
      </w:r>
    </w:p>
    <w:p>
      <w:pPr>
        <w:spacing w:after="0" w:line="50" w:lineRule="exact"/>
        <w:rPr>
          <w:rFonts w:ascii="Times New Roman" w:cs="Times New Roman" w:eastAsia="Times New Roman" w:hAnsi="Times New Roman"/>
          <w:sz w:val="14"/>
          <w:szCs w:val="14"/>
          <w:color w:val="auto"/>
        </w:rPr>
      </w:pPr>
    </w:p>
    <w:p>
      <w:pPr>
        <w:ind w:left="260" w:right="180" w:hanging="255"/>
        <w:spacing w:after="0" w:line="287" w:lineRule="auto"/>
        <w:tabs>
          <w:tab w:leader="none" w:pos="2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reflected in this column represent the grant date fair value of options to purchase common stock computed in accordance with FASB ASC Topic 718. The valuation methodology and assumptions used in determining such amounts are described in Note 7 of the Company’s financial statements for the year ended December 31, 2024.</w:t>
      </w:r>
    </w:p>
    <w:p>
      <w:pPr>
        <w:spacing w:after="0" w:line="39" w:lineRule="exact"/>
        <w:rPr>
          <w:rFonts w:ascii="Times New Roman" w:cs="Times New Roman" w:eastAsia="Times New Roman" w:hAnsi="Times New Roman"/>
          <w:sz w:val="14"/>
          <w:szCs w:val="14"/>
          <w:color w:val="auto"/>
        </w:rPr>
      </w:pPr>
    </w:p>
    <w:p>
      <w:pPr>
        <w:ind w:left="260" w:right="280" w:hanging="255"/>
        <w:spacing w:after="0" w:line="287" w:lineRule="auto"/>
        <w:tabs>
          <w:tab w:leader="none" w:pos="2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Mr. Goldberg's Stock Awards of $433,100 consists of amounts granted for his services as follows: $257,500 attributable to 50,000 restricted stock units granted in connection with his role as a consultant and $175,600 attributable to 20,000 restricted stock units granted to Mr. Goldberg as a member of the Board of Directors.</w:t>
      </w:r>
    </w:p>
    <w:p>
      <w:pPr>
        <w:spacing w:after="0" w:line="39" w:lineRule="exact"/>
        <w:rPr>
          <w:rFonts w:ascii="Times New Roman" w:cs="Times New Roman" w:eastAsia="Times New Roman" w:hAnsi="Times New Roman"/>
          <w:sz w:val="14"/>
          <w:szCs w:val="14"/>
          <w:color w:val="auto"/>
        </w:rPr>
      </w:pPr>
    </w:p>
    <w:p>
      <w:pPr>
        <w:ind w:left="260" w:right="80" w:hanging="255"/>
        <w:spacing w:after="0" w:line="287" w:lineRule="auto"/>
        <w:tabs>
          <w:tab w:leader="none" w:pos="2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represents the grant date fair value of 20,000 restricted stock units award granted on December 4, 2024, which is scheduled to vest in full on the earlier to occur of (i) the Company's next annual shareholder meeting or (ii) December 4, 2025.</w:t>
      </w:r>
    </w:p>
    <w:p>
      <w:pPr>
        <w:spacing w:after="0" w:line="39"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represents the grant date fair value of an option to purchase 20,000 shares of common stock granted on April 18, 2024, all of which were outstanding as of December 31, 2024. The option is scheduled to vest in full on April 18, 2025.</w:t>
      </w:r>
    </w:p>
    <w:p>
      <w:pPr>
        <w:spacing w:after="0" w:line="39"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represents the grant date fair value of an option to purchase 20,000 shares of common stock granted on April 18, 2024, which was scheduled to vest in full on April 18, 2025. Upon Mr. Jordan's resignation in December 2024, the options were forfeited.</w:t>
      </w:r>
    </w:p>
    <w:p>
      <w:pPr>
        <w:spacing w:after="0" w:line="39"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represents the grant date fair value of an option to purchase 20,000 shares of common stock granted on April 18, 2024, all of which were outstanding as of December 31, 2024. The vesting of the option was fully accelerated upon Mr. Pourdad's resignation on July 22, 2024.</w:t>
      </w:r>
    </w:p>
    <w:p>
      <w:pPr>
        <w:spacing w:after="0" w:line="39"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Goldberg's fees earned or paid in cash amount consists of (i) $175,000 in consulting fees paid to Mr. Goldberg for services provided to the Company as a consultant and (ii) $13,225 of fees paid to Mr. Goldberg in connection with his role as a member of the Board of Directors.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Compensation</w:t>
      </w:r>
    </w:p>
    <w:p>
      <w:pPr>
        <w:spacing w:after="0" w:line="15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Throughout this section, unless otherwise noted, “we,” “us,” “our,” “Company” and similar terms refer to Serve prior to the closing of the Merger, and to the Company and its subsidiaries after the closing of the Merger.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section discusses the material components of the executive compensation program for the Company’s named executive officers who appear in the “2024 Summary Compensation Table” below.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the “named executive officers” and their positions with the Company were as follows:</w:t>
      </w:r>
    </w:p>
    <w:p>
      <w:pPr>
        <w:spacing w:after="0" w:line="143" w:lineRule="exact"/>
        <w:rPr>
          <w:sz w:val="20"/>
          <w:szCs w:val="20"/>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 Kashani: Chief Executive Officer</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Touraj Parang: President &amp; Chief Operating Officer</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Brian Read: Chief Financial Officer</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Summary Compensation Table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portion of compensation paid to the named executive officers for the fiscal years ended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100" w:type="dxa"/>
            <w:vAlign w:val="bottom"/>
            <w:gridSpan w:val="2"/>
            <w:vMerge w:val="restart"/>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2"/>
            <w:vMerge w:val="restart"/>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100" w:type="dxa"/>
            <w:vAlign w:val="bottom"/>
            <w:gridSpan w:val="2"/>
            <w:vMerge w:val="continue"/>
          </w:tcPr>
          <w:p>
            <w:pPr>
              <w:spacing w:after="0"/>
              <w:rPr>
                <w:sz w:val="3"/>
                <w:szCs w:val="3"/>
                <w:color w:val="auto"/>
              </w:rPr>
            </w:pP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Nonqualified Deferred</w:t>
            </w:r>
          </w:p>
        </w:tc>
        <w:tc>
          <w:tcPr>
            <w:tcW w:w="1120" w:type="dxa"/>
            <w:vAlign w:val="bottom"/>
            <w:gridSpan w:val="2"/>
            <w:vMerge w:val="continue"/>
          </w:tcPr>
          <w:p>
            <w:pPr>
              <w:spacing w:after="0"/>
              <w:rPr>
                <w:sz w:val="3"/>
                <w:szCs w:val="3"/>
                <w:color w:val="auto"/>
              </w:rPr>
            </w:pPr>
          </w:p>
        </w:tc>
        <w:tc>
          <w:tcPr>
            <w:tcW w:w="960" w:type="dxa"/>
            <w:vAlign w:val="bottom"/>
            <w:vMerge w:val="restart"/>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00" w:type="dxa"/>
            <w:vAlign w:val="bottom"/>
            <w:gridSpan w:val="2"/>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700" w:type="dxa"/>
            <w:vAlign w:val="bottom"/>
            <w:gridSpan w:val="2"/>
            <w:vMerge w:val="continue"/>
          </w:tcPr>
          <w:p>
            <w:pPr>
              <w:spacing w:after="0"/>
              <w:rPr>
                <w:sz w:val="11"/>
                <w:szCs w:val="11"/>
                <w:color w:val="auto"/>
              </w:rPr>
            </w:pPr>
          </w:p>
        </w:tc>
        <w:tc>
          <w:tcPr>
            <w:tcW w:w="112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(1)</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7"/>
                <w:szCs w:val="7"/>
                <w:b w:val="1"/>
                <w:bCs w:val="1"/>
                <w:color w:val="auto"/>
              </w:rPr>
              <w:t>(2)</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Compensation Earnings ($)</w:t>
            </w:r>
          </w:p>
        </w:tc>
        <w:tc>
          <w:tcPr>
            <w:tcW w:w="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Ali Kashani</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236,667</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8,445,000</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8,681,667</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105,738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36,984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142,722</w:t>
            </w:r>
          </w:p>
        </w:tc>
        <w:tc>
          <w:tcPr>
            <w:tcW w:w="0" w:type="dxa"/>
            <w:vAlign w:val="bottom"/>
          </w:tcPr>
          <w:p>
            <w:pPr>
              <w:spacing w:after="0"/>
              <w:rPr>
                <w:sz w:val="1"/>
                <w:szCs w:val="1"/>
                <w:color w:val="auto"/>
              </w:rPr>
            </w:pPr>
          </w:p>
        </w:tc>
      </w:tr>
      <w:tr>
        <w:trPr>
          <w:trHeight w:val="191"/>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Touraj Parang</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328,333</w:t>
            </w: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3,009,064</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3,337,397</w:t>
            </w:r>
          </w:p>
        </w:tc>
        <w:tc>
          <w:tcPr>
            <w:tcW w:w="0" w:type="dxa"/>
            <w:vAlign w:val="bottom"/>
          </w:tcPr>
          <w:p>
            <w:pPr>
              <w:spacing w:after="0"/>
              <w:rPr>
                <w:sz w:val="1"/>
                <w:szCs w:val="1"/>
                <w:color w:val="auto"/>
              </w:rPr>
            </w:pPr>
          </w:p>
        </w:tc>
      </w:tr>
      <w:tr>
        <w:trPr>
          <w:trHeight w:val="207"/>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President &amp; Chief Operating Officer</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238,500</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11,655</w:t>
            </w:r>
          </w:p>
        </w:tc>
        <w:tc>
          <w:tcPr>
            <w:tcW w:w="80" w:type="dxa"/>
            <w:vAlign w:val="bottom"/>
          </w:tcPr>
          <w:p>
            <w:pPr>
              <w:spacing w:after="0"/>
              <w:rPr>
                <w:sz w:val="18"/>
                <w:szCs w:val="18"/>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250,155</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Brian Read</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168,561</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1,461,900</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1,655,461</w:t>
            </w: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60" w:hanging="255"/>
        <w:spacing w:after="0" w:line="270" w:lineRule="auto"/>
        <w:tabs>
          <w:tab w:leader="none" w:pos="25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reflected in this column represent the grant date fair value of restricted stock units. The grant date fair value is measured based on the closing price of our common stock on the date of grant in accordance with FASB ASC Topic 718. The valuation methodology and assumptions used in determining such amounts are described in Note 7 of the Company’s financial statements for the year ended December 31, 2024.</w:t>
      </w:r>
    </w:p>
    <w:p>
      <w:pPr>
        <w:spacing w:after="0" w:line="103" w:lineRule="exact"/>
        <w:rPr>
          <w:rFonts w:ascii="Times New Roman" w:cs="Times New Roman" w:eastAsia="Times New Roman" w:hAnsi="Times New Roman"/>
          <w:sz w:val="14"/>
          <w:szCs w:val="14"/>
          <w:color w:val="auto"/>
        </w:rPr>
      </w:pPr>
    </w:p>
    <w:p>
      <w:pPr>
        <w:ind w:left="260" w:hanging="255"/>
        <w:spacing w:after="0" w:line="287" w:lineRule="auto"/>
        <w:tabs>
          <w:tab w:leader="none" w:pos="25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reflected in this column represent the grant date fair value of options to purchase common stock computed in accordance with FASB ASC Topic 718. The valuation methodology and assumptions used in determining such amounts are described in Note 7 of the Company’s financial statements for the year ended December 31,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Salaries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fiscal year 2024, Dr. Kashani, Mr. Parang, and Mr. Read received an annual salary of $236,667, $328,333, and $168,561, respectively, to compensate them for services rendered to Serve. In fiscal year 2023, Dr. Kashani and Mr. Parang received an annual base salary of $105,738 and $238,500, respectively, to compensate them for services rendered to Serve. The salary payable to each of Dr. Kashani and Mr. Parang was intended to provide a fixed component of compensation reflecting the executive’s skill set, experience, role and responsibilities.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Awards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6, 2023, Dr. Kashani and Mr. Parang were each granted an option to purchase 45,182 and 11,403 shares of Serve common stock, which fully vested on the one-month anniversary of the closing of the Merger, subject to the executive’s continued employment through the vesting date. In addition, on June 6, 2023, Dr. Kashani and Mr. Parang were each granted an option to purchase 19,373 and 8,451 shares of Serve common stock, which are scheduled to vest as to 1/48th of the option shares on July 1, 2023 and monthly thereafter, subject to the executive’s continued employment through each vesting date.</w:t>
      </w:r>
    </w:p>
    <w:p>
      <w:pPr>
        <w:spacing w:after="0" w:line="1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On April 3, 2024, Mr. Read was awarded a restricted stock unit grant of 240,000 shares of Serve common stock scheduled to vest as to 25% of the shares on April 29, 2025 and as to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shares monthly over the 36 month-period thereafter, subject to the executive’s continued employment through each vesting date. On June 11, 2024, Dr. Kashani and Mr. Parang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were each awarded a restricted stock unit grant of 60,000 and 12,857 shares of Serve common stock, scheduled to vest on a monthly basis through May 1, 2025.</w:t>
      </w:r>
    </w:p>
    <w:p>
      <w:pPr>
        <w:spacing w:after="0" w:line="15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On September 5, 2024, Dr. Kashani, Mr. Parang and Mr. Read were each awarded a restricted stock unit grant of 1,100,000, 395,000, and 30,000 shares of Serve common stock, scheduled to vest as to 33% of the shares on September 5, 2025 and as to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shares monthly over the remaining 24-month period thereafter.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the 2021 Stock Plan</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Serve’s board of directors originally adopted, and Serve’s stockholders approved, the Serve Robotics Inc. 2021 Stock Plan (the “2021 Stock Plan”) in 2021. The 2021 Stock Plan provided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 grant of incentive stock options to Serve employees (and employees of any parent or subsidiary of Serve) and for the grant of non-statutory stock options, restricted stock and restricted stock purchase rights to Serve employees, directors and consultants (and employees and consultants of any parent, subsidiary or affiliate of Serve).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Plan Administration. </w:t>
      </w:r>
      <w:r>
        <w:rPr>
          <w:rFonts w:ascii="Times New Roman" w:cs="Times New Roman" w:eastAsia="Times New Roman" w:hAnsi="Times New Roman"/>
          <w:sz w:val="14"/>
          <w:szCs w:val="14"/>
          <w:color w:val="auto"/>
        </w:rPr>
        <w:t>The Serve board of directors has administered the 2021 Stock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Types of Awards. </w:t>
      </w:r>
      <w:r>
        <w:rPr>
          <w:rFonts w:ascii="Times New Roman" w:cs="Times New Roman" w:eastAsia="Times New Roman" w:hAnsi="Times New Roman"/>
          <w:sz w:val="14"/>
          <w:szCs w:val="14"/>
          <w:color w:val="auto"/>
        </w:rPr>
        <w:t>The 2021 Stock Plan provides for the grant of incentive stock options, non-statutory stock options, restricted stock and restricted stock purchase rights.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The Serve board of directors granted stock options under the 2021 Stock Plan. The exercise price per share applicable to such options was equal to at least the fair market value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 of Serve common stock on the date of grant. The term of options granted under the 2021 Stock Plan did not exceed 10 years; provided, however, that any incentive stock option granted to a participant who owned more than 10% of the total combined voting power of all classes of Serve stock, or of certain of Serve’s subsidiary corporations, did not have a term in excess of five years and had an exercise price per share of at least 110% of the fair market value per share of Serve common stock on the grant date. Subject to the provisions of the 2021 Stock Plan, the Serve board of directors determined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except for a termination for cause, the option will generally remain exercisable for three months following the termination of service. In the event of a termination for cause, the option will immediately terminate. However, in no event may an option be exercised later than the expiration of its term.</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Restricted Stock. </w:t>
      </w:r>
      <w:r>
        <w:rPr>
          <w:rFonts w:ascii="Times New Roman" w:cs="Times New Roman" w:eastAsia="Times New Roman" w:hAnsi="Times New Roman"/>
          <w:sz w:val="14"/>
          <w:szCs w:val="14"/>
          <w:color w:val="auto"/>
        </w:rPr>
        <w:t>The Serve board of directors granted stock options under the 2021 Stock Plan. Subject to the provisions of the 2021 Stock Plan, the Serve board of directors determined the terms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restricted stock, including the number of shares that the participant will be entitled to purchase, the price to be paid, if any, the time within which such participant must accept the offer to purchase the restricted stock, and the other terms applicable to the award. Unless the Serve board of directors determines otherwise, the restricted stock purchase agreement evidencing the award grants Serve a repurchase option exercisable upon the voluntary or involuntary termination of the participant’s service for any reason at a purchase price equal the original purchase price paid by the participant. The Serve board of directors determines the rate at which the repurchase option lapses. Once the restricted stock is purchased by the participant, the participant will have the rights equivalent to those of a holder of Serve capital stock, and shall be a record holder when his or her purchase and the issuance of the shares is entered upon the records of the duly authorized transfer agent of the Company.</w:t>
      </w:r>
    </w:p>
    <w:p>
      <w:pPr>
        <w:spacing w:after="0" w:line="11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Non-transferability of Awards. </w:t>
      </w:r>
      <w:r>
        <w:rPr>
          <w:rFonts w:ascii="Times New Roman" w:cs="Times New Roman" w:eastAsia="Times New Roman" w:hAnsi="Times New Roman"/>
          <w:sz w:val="14"/>
          <w:szCs w:val="14"/>
          <w:color w:val="auto"/>
        </w:rPr>
        <w:t>Unless the Serve board of directors provided otherwise, the 2021 Stock Plan generally did not allow for the transfer of awards or shares acquired pursuant to an award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only the recipient of an option may exercise such an award during his or her lifetime.</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Certain Adjustments. </w:t>
      </w:r>
      <w:r>
        <w:rPr>
          <w:rFonts w:ascii="Times New Roman" w:cs="Times New Roman" w:eastAsia="Times New Roman" w:hAnsi="Times New Roman"/>
          <w:sz w:val="14"/>
          <w:szCs w:val="14"/>
          <w:color w:val="auto"/>
        </w:rPr>
        <w:t>In the event of certain corporate events or changes in Serve’s capitalization, to prevent diminution or enlargement of the benefits or potential benefits available under the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Plan, the Serve board of directors will make adjustments to the number of shares reserved for issuance under the 2021 Stock Plan, the exercise prices of and number of shares subject to each outstanding stock option and the purchase prices of and number of shares subject to each other outstanding stock award.</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Corporate Transaction. </w:t>
      </w:r>
      <w:r>
        <w:rPr>
          <w:rFonts w:ascii="Times New Roman" w:cs="Times New Roman" w:eastAsia="Times New Roman" w:hAnsi="Times New Roman"/>
          <w:sz w:val="14"/>
          <w:szCs w:val="14"/>
          <w:color w:val="auto"/>
        </w:rPr>
        <w:t>The 2021 Stock Plan provides that in the event of certain significant corporate transactions, including: (i) a transfer of all or substantially all of Serve’s assets, (ii) a merger,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consolidation or other capital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reorganization or business combination transaction of Serve with or into another corporation, entity or person, or (iii) the consummation of a transaction, or series of related transactions, in which any person becomes the beneficial owner, directly or indirectly, of more than 50% of Serve’s then outstanding capital stock, each outstanding award will be treated as the Serve board of directors determines.</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Amendment or Termination. </w:t>
      </w:r>
      <w:r>
        <w:rPr>
          <w:rFonts w:ascii="Times New Roman" w:cs="Times New Roman" w:eastAsia="Times New Roman" w:hAnsi="Times New Roman"/>
          <w:sz w:val="14"/>
          <w:szCs w:val="14"/>
          <w:color w:val="auto"/>
        </w:rPr>
        <w:t>Serve’s board of directors may amend or terminate the 2021 Stock Plan at any time, provided such action does not materially and adversely affect the rights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participant without his or her consent. In addition, stockholder approval must be obtained to the extent necessary and desirable to comply with applicable laws. The Serve board of directors terminated the 2021 Stock Plan, effective as of and contingent upon the closing of the Merger. Following termination of the 2021 Stock Plan, no new awards will be granted under such plan, but previously granted awards will continue to be subject to the terms and conditions of the 2021 Stock Plan and the stock award agreements pursuant to which such awards were granted.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Benefits</w:t>
      </w:r>
    </w:p>
    <w:p>
      <w:pPr>
        <w:spacing w:after="0" w:line="14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2024 and 2023, the Company provided benefits to its named executive officers on the same basis as provided to all of its employees, including medical, dental, vision, life and AD&amp;D, and short-and long-term disability insurance, flexible spending accounts, vacation and paid holidays. The named executive officers are also eligible to participate in the Company’s 401(k)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Outstanding Equity Awards at 2024 Fiscal Year-End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each unexercised stock option or unvested stock award held by each named executive officer as of December 31, 2024.</w:t>
      </w:r>
    </w:p>
    <w:p>
      <w:pPr>
        <w:spacing w:after="0" w:line="212" w:lineRule="exact"/>
        <w:rPr>
          <w:sz w:val="20"/>
          <w:szCs w:val="20"/>
          <w:color w:val="auto"/>
        </w:rPr>
      </w:pPr>
    </w:p>
    <w:p>
      <w:pPr>
        <w:ind w:left="3600"/>
        <w:spacing w:after="0"/>
        <w:tabs>
          <w:tab w:leader="none" w:pos="8780" w:val="left"/>
        </w:tabs>
        <w:rPr>
          <w:sz w:val="20"/>
          <w:szCs w:val="20"/>
          <w:color w:val="auto"/>
        </w:rPr>
      </w:pPr>
      <w:r>
        <w:rPr>
          <w:rFonts w:ascii="Times New Roman" w:cs="Times New Roman" w:eastAsia="Times New Roman" w:hAnsi="Times New Roman"/>
          <w:sz w:val="13"/>
          <w:szCs w:val="13"/>
          <w:b w:val="1"/>
          <w:bCs w:val="1"/>
          <w:color w:val="auto"/>
        </w:rPr>
        <w:t>Option Awards</w:t>
      </w:r>
      <w:r>
        <w:rPr>
          <w:rFonts w:ascii="Times New Roman" w:cs="Times New Roman" w:eastAsia="Times New Roman" w:hAnsi="Times New Roman"/>
          <w:sz w:val="16"/>
          <w:szCs w:val="16"/>
          <w:b w:val="1"/>
          <w:bCs w:val="1"/>
          <w:color w:val="auto"/>
          <w:vertAlign w:val="superscript"/>
        </w:rPr>
        <w:t>(1)</w:t>
      </w:r>
      <w:r>
        <w:rPr>
          <w:sz w:val="20"/>
          <w:szCs w:val="20"/>
          <w:color w:val="auto"/>
        </w:rPr>
        <w:tab/>
      </w:r>
      <w:r>
        <w:rPr>
          <w:rFonts w:ascii="Times New Roman" w:cs="Times New Roman" w:eastAsia="Times New Roman" w:hAnsi="Times New Roman"/>
          <w:sz w:val="12"/>
          <w:szCs w:val="12"/>
          <w:b w:val="1"/>
          <w:bCs w:val="1"/>
          <w:color w:val="auto"/>
        </w:rPr>
        <w:t>Stock Awards</w:t>
      </w:r>
      <w:r>
        <w:rPr>
          <w:rFonts w:ascii="Times New Roman" w:cs="Times New Roman" w:eastAsia="Times New Roman" w:hAnsi="Times New Roman"/>
          <w:sz w:val="15"/>
          <w:szCs w:val="15"/>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12700</wp:posOffset>
            </wp:positionV>
            <wp:extent cx="262064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2064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10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8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plan awards:</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280"/>
              <w:spacing w:after="0" w:line="13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1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940" w:type="dxa"/>
            <w:vAlign w:val="bottom"/>
          </w:tcPr>
          <w:p>
            <w:pPr>
              <w:jc w:val="center"/>
              <w:ind w:left="236"/>
              <w:spacing w:after="0" w:line="138"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1"/>
        </w:trPr>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jc w:val="center"/>
              <w:ind w:left="16"/>
              <w:spacing w:after="0" w:line="131"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940" w:type="dxa"/>
            <w:vAlign w:val="bottom"/>
          </w:tcPr>
          <w:p>
            <w:pPr>
              <w:jc w:val="center"/>
              <w:ind w:left="276"/>
              <w:spacing w:after="0" w:line="131"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jc w:val="center"/>
              <w:ind w:left="36"/>
              <w:spacing w:after="0" w:line="114"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4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10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20" w:type="dxa"/>
            <w:vAlign w:val="bottom"/>
          </w:tcPr>
          <w:p>
            <w:pPr>
              <w:spacing w:after="0"/>
              <w:rPr>
                <w:sz w:val="9"/>
                <w:szCs w:val="9"/>
                <w:color w:val="auto"/>
              </w:rPr>
            </w:pPr>
          </w:p>
        </w:tc>
        <w:tc>
          <w:tcPr>
            <w:tcW w:w="1120" w:type="dxa"/>
            <w:vAlign w:val="bottom"/>
          </w:tcPr>
          <w:p>
            <w:pPr>
              <w:jc w:val="center"/>
              <w:ind w:right="16"/>
              <w:spacing w:after="0" w:line="114"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940" w:type="dxa"/>
            <w:vAlign w:val="bottom"/>
            <w:vMerge w:val="restart"/>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8"/>
              </w:rPr>
              <w:t>shares that</w:t>
            </w:r>
          </w:p>
        </w:tc>
        <w:tc>
          <w:tcPr>
            <w:tcW w:w="0" w:type="dxa"/>
            <w:vAlign w:val="bottom"/>
          </w:tcPr>
          <w:p>
            <w:pPr>
              <w:spacing w:after="0"/>
              <w:rPr>
                <w:sz w:val="1"/>
                <w:szCs w:val="1"/>
                <w:color w:val="auto"/>
              </w:rPr>
            </w:pPr>
          </w:p>
        </w:tc>
      </w:tr>
      <w:tr>
        <w:trPr>
          <w:trHeight w:val="62"/>
        </w:trPr>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vMerge w:val="restart"/>
          </w:tcPr>
          <w:p>
            <w:pPr>
              <w:jc w:val="center"/>
              <w:ind w:left="36"/>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4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20" w:type="dxa"/>
            <w:vAlign w:val="bottom"/>
            <w:vMerge w:val="continue"/>
          </w:tcPr>
          <w:p>
            <w:pPr>
              <w:spacing w:after="0"/>
              <w:rPr>
                <w:sz w:val="5"/>
                <w:szCs w:val="5"/>
                <w:color w:val="auto"/>
              </w:rPr>
            </w:pPr>
          </w:p>
        </w:tc>
        <w:tc>
          <w:tcPr>
            <w:tcW w:w="9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120" w:type="dxa"/>
            <w:vAlign w:val="bottom"/>
            <w:vMerge w:val="restart"/>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exercise</w:t>
            </w:r>
          </w:p>
        </w:tc>
        <w:tc>
          <w:tcPr>
            <w:tcW w:w="9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vMerge w:val="restart"/>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83"/>
        </w:trPr>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vMerge w:val="restart"/>
          </w:tcPr>
          <w:p>
            <w:pPr>
              <w:jc w:val="center"/>
              <w:ind w:left="36"/>
              <w:spacing w:after="0" w:line="128" w:lineRule="exact"/>
              <w:rPr>
                <w:sz w:val="20"/>
                <w:szCs w:val="20"/>
                <w:color w:val="auto"/>
              </w:rPr>
            </w:pPr>
            <w:r>
              <w:rPr>
                <w:rFonts w:ascii="Times New Roman" w:cs="Times New Roman" w:eastAsia="Times New Roman" w:hAnsi="Times New Roman"/>
                <w:sz w:val="13"/>
                <w:szCs w:val="13"/>
                <w:b w:val="1"/>
                <w:bCs w:val="1"/>
                <w:color w:val="auto"/>
                <w:w w:val="98"/>
              </w:rPr>
              <w:t>options</w:t>
            </w:r>
          </w:p>
        </w:tc>
        <w:tc>
          <w:tcPr>
            <w:tcW w:w="114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options</w:t>
            </w:r>
          </w:p>
        </w:tc>
        <w:tc>
          <w:tcPr>
            <w:tcW w:w="110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820" w:type="dxa"/>
            <w:vAlign w:val="bottom"/>
            <w:vMerge w:val="continue"/>
          </w:tcPr>
          <w:p>
            <w:pPr>
              <w:spacing w:after="0"/>
              <w:rPr>
                <w:sz w:val="7"/>
                <w:szCs w:val="7"/>
                <w:color w:val="auto"/>
              </w:rPr>
            </w:pPr>
          </w:p>
        </w:tc>
        <w:tc>
          <w:tcPr>
            <w:tcW w:w="9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expiration</w:t>
            </w:r>
          </w:p>
        </w:tc>
        <w:tc>
          <w:tcPr>
            <w:tcW w:w="1120" w:type="dxa"/>
            <w:vAlign w:val="bottom"/>
            <w:vMerge w:val="restart"/>
          </w:tcPr>
          <w:p>
            <w:pPr>
              <w:jc w:val="center"/>
              <w:ind w:right="36"/>
              <w:spacing w:after="0" w:line="128" w:lineRule="exact"/>
              <w:rPr>
                <w:sz w:val="20"/>
                <w:szCs w:val="20"/>
                <w:color w:val="auto"/>
              </w:rPr>
            </w:pPr>
            <w:r>
              <w:rPr>
                <w:rFonts w:ascii="Times New Roman" w:cs="Times New Roman" w:eastAsia="Times New Roman" w:hAnsi="Times New Roman"/>
                <w:sz w:val="13"/>
                <w:szCs w:val="13"/>
                <w:b w:val="1"/>
                <w:bCs w:val="1"/>
                <w:color w:val="auto"/>
                <w:w w:val="99"/>
              </w:rPr>
              <w:t>not</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price</w:t>
            </w:r>
          </w:p>
        </w:tc>
        <w:tc>
          <w:tcPr>
            <w:tcW w:w="92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vMerge w:val="restart"/>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7"/>
              </w:rPr>
              <w:t>vested</w:t>
            </w:r>
          </w:p>
        </w:tc>
        <w:tc>
          <w:tcPr>
            <w:tcW w:w="0" w:type="dxa"/>
            <w:vAlign w:val="bottom"/>
          </w:tcPr>
          <w:p>
            <w:pPr>
              <w:spacing w:after="0"/>
              <w:rPr>
                <w:sz w:val="1"/>
                <w:szCs w:val="1"/>
                <w:color w:val="auto"/>
              </w:rPr>
            </w:pPr>
          </w:p>
        </w:tc>
      </w:tr>
      <w:tr>
        <w:trPr>
          <w:trHeight w:val="127"/>
        </w:trPr>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100" w:type="dxa"/>
            <w:vAlign w:val="bottom"/>
          </w:tcPr>
          <w:p>
            <w:pPr>
              <w:jc w:val="center"/>
              <w:ind w:left="36"/>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exercisable</w:t>
            </w:r>
          </w:p>
        </w:tc>
        <w:tc>
          <w:tcPr>
            <w:tcW w:w="11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11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options</w:t>
            </w:r>
          </w:p>
        </w:tc>
        <w:tc>
          <w:tcPr>
            <w:tcW w:w="820" w:type="dxa"/>
            <w:vAlign w:val="bottom"/>
            <w:vMerge w:val="continue"/>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date</w:t>
            </w:r>
          </w:p>
        </w:tc>
        <w:tc>
          <w:tcPr>
            <w:tcW w:w="1120" w:type="dxa"/>
            <w:vAlign w:val="bottom"/>
          </w:tcPr>
          <w:p>
            <w:pPr>
              <w:jc w:val="center"/>
              <w:ind w:right="36"/>
              <w:spacing w:after="0" w:line="128" w:lineRule="exact"/>
              <w:rPr>
                <w:sz w:val="20"/>
                <w:szCs w:val="20"/>
                <w:color w:val="auto"/>
              </w:rPr>
            </w:pPr>
            <w:r>
              <w:rPr>
                <w:rFonts w:ascii="Times New Roman" w:cs="Times New Roman" w:eastAsia="Times New Roman" w:hAnsi="Times New Roman"/>
                <w:sz w:val="13"/>
                <w:szCs w:val="13"/>
                <w:b w:val="1"/>
                <w:bCs w:val="1"/>
                <w:color w:val="auto"/>
                <w:w w:val="97"/>
              </w:rPr>
              <w:t>vested</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20" w:type="dxa"/>
            <w:vAlign w:val="bottom"/>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left="276"/>
              <w:spacing w:after="0" w:line="170"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r>
      <w:tr>
        <w:trPr>
          <w:trHeight w:val="127"/>
        </w:trPr>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plan awards:</w:t>
            </w:r>
          </w:p>
        </w:tc>
      </w:tr>
      <w:tr>
        <w:trPr>
          <w:trHeight w:val="127"/>
        </w:trPr>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plan awards:</w:t>
            </w: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market or</w:t>
            </w:r>
          </w:p>
        </w:tc>
      </w:tr>
      <w:tr>
        <w:trPr>
          <w:trHeight w:val="127"/>
        </w:trPr>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payout value of</w:t>
            </w:r>
          </w:p>
        </w:tc>
      </w:tr>
      <w:tr>
        <w:trPr>
          <w:trHeight w:val="127"/>
        </w:trPr>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unearned shares,</w:t>
            </w:r>
          </w:p>
        </w:tc>
      </w:tr>
      <w:tr>
        <w:trPr>
          <w:trHeight w:val="127"/>
        </w:trPr>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shares, units or</w:t>
            </w: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units or other</w:t>
            </w:r>
          </w:p>
        </w:tc>
      </w:tr>
      <w:tr>
        <w:trPr>
          <w:trHeight w:val="127"/>
        </w:trPr>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 rights that</w:t>
            </w: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rights that have</w:t>
            </w:r>
          </w:p>
        </w:tc>
      </w:tr>
      <w:tr>
        <w:trPr>
          <w:trHeight w:val="127"/>
        </w:trPr>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have not vested</w:t>
            </w: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not vested</w:t>
            </w:r>
          </w:p>
        </w:tc>
      </w:tr>
      <w:tr>
        <w:trPr>
          <w:trHeight w:val="167"/>
        </w:trPr>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bl>
    <w:p>
      <w:pPr>
        <w:spacing w:after="0" w:line="22" w:lineRule="exact"/>
        <w:rPr>
          <w:sz w:val="20"/>
          <w:szCs w:val="20"/>
          <w:color w:val="auto"/>
        </w:rPr>
      </w:pPr>
    </w:p>
    <w:p>
      <w:pPr>
        <w:sectPr>
          <w:pgSz w:w="11900" w:h="16838" w:orient="portrait"/>
          <w:cols w:equalWidth="0" w:num="2">
            <w:col w:w="9160" w:space="220"/>
            <w:col w:w="19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04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47"/>
        </w:trPr>
        <w:tc>
          <w:tcPr>
            <w:tcW w:w="1040" w:type="dxa"/>
            <w:vAlign w:val="bottom"/>
            <w:tcBorders>
              <w:right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Ali Kashani</w:t>
            </w:r>
          </w:p>
        </w:tc>
        <w:tc>
          <w:tcPr>
            <w:tcW w:w="1080" w:type="dxa"/>
            <w:vAlign w:val="bottom"/>
            <w:gridSpan w:val="2"/>
            <w:shd w:val="clear" w:color="auto" w:fill="CCEEFF"/>
          </w:tcPr>
          <w:p>
            <w:pPr>
              <w:jc w:val="right"/>
              <w:ind w:right="99"/>
              <w:spacing w:after="0" w:line="147" w:lineRule="exact"/>
              <w:rPr>
                <w:sz w:val="20"/>
                <w:szCs w:val="20"/>
                <w:color w:val="auto"/>
              </w:rPr>
            </w:pPr>
            <w:r>
              <w:rPr>
                <w:rFonts w:ascii="Times New Roman" w:cs="Times New Roman" w:eastAsia="Times New Roman" w:hAnsi="Times New Roman"/>
                <w:sz w:val="13"/>
                <w:szCs w:val="13"/>
                <w:color w:val="auto"/>
              </w:rPr>
              <w:t xml:space="preserve">6/7/2023 </w:t>
            </w:r>
            <w:r>
              <w:rPr>
                <w:rFonts w:ascii="Times New Roman" w:cs="Times New Roman" w:eastAsia="Times New Roman" w:hAnsi="Times New Roman"/>
                <w:sz w:val="8"/>
                <w:szCs w:val="8"/>
                <w:color w:val="auto"/>
              </w:rPr>
              <w:t>(11)</w:t>
            </w:r>
          </w:p>
        </w:tc>
        <w:tc>
          <w:tcPr>
            <w:tcW w:w="1020" w:type="dxa"/>
            <w:vAlign w:val="bottom"/>
            <w:tcBorders>
              <w:right w:val="single" w:sz="8" w:color="CCEEFF"/>
            </w:tcBorders>
            <w:shd w:val="clear" w:color="auto" w:fill="CCEEFF"/>
          </w:tcPr>
          <w:p>
            <w:pPr>
              <w:jc w:val="right"/>
              <w:ind w:right="56"/>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12,109</w:t>
            </w: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ind w:left="8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ind w:right="56"/>
              <w:spacing w:after="0" w:line="147" w:lineRule="exact"/>
              <w:rPr>
                <w:sz w:val="20"/>
                <w:szCs w:val="20"/>
                <w:color w:val="auto"/>
              </w:rPr>
            </w:pPr>
            <w:r>
              <w:rPr>
                <w:rFonts w:ascii="Times New Roman" w:cs="Times New Roman" w:eastAsia="Times New Roman" w:hAnsi="Times New Roman"/>
                <w:sz w:val="13"/>
                <w:szCs w:val="13"/>
                <w:color w:val="auto"/>
              </w:rPr>
              <w:t>0.9447</w:t>
            </w:r>
          </w:p>
        </w:tc>
        <w:tc>
          <w:tcPr>
            <w:tcW w:w="960" w:type="dxa"/>
            <w:vAlign w:val="bottom"/>
            <w:tcBorders>
              <w:right w:val="single" w:sz="8" w:color="CCEEFF"/>
            </w:tcBorders>
            <w:shd w:val="clear" w:color="auto" w:fill="CCEEFF"/>
          </w:tcPr>
          <w:p>
            <w:pPr>
              <w:ind w:left="420"/>
              <w:spacing w:after="0" w:line="147" w:lineRule="exact"/>
              <w:rPr>
                <w:sz w:val="20"/>
                <w:szCs w:val="20"/>
                <w:color w:val="auto"/>
              </w:rPr>
            </w:pPr>
            <w:r>
              <w:rPr>
                <w:rFonts w:ascii="Times New Roman" w:cs="Times New Roman" w:eastAsia="Times New Roman" w:hAnsi="Times New Roman"/>
                <w:sz w:val="13"/>
                <w:szCs w:val="13"/>
                <w:color w:val="auto"/>
              </w:rPr>
              <w:t>6/6/2028</w:t>
            </w: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56"/>
              <w:spacing w:after="0" w:line="14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420"/>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91"/>
        </w:trPr>
        <w:tc>
          <w:tcPr>
            <w:tcW w:w="10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4/7/2021</w:t>
            </w:r>
          </w:p>
        </w:tc>
        <w:tc>
          <w:tcPr>
            <w:tcW w:w="30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281,225</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3,796,538</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10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4/7/2021</w:t>
            </w:r>
          </w:p>
        </w:tc>
        <w:tc>
          <w:tcPr>
            <w:tcW w:w="30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58,143</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784,931</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10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6/11/2024</w:t>
            </w:r>
          </w:p>
        </w:tc>
        <w:tc>
          <w:tcPr>
            <w:tcW w:w="30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337,500</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10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9/5/2024</w:t>
            </w:r>
          </w:p>
        </w:tc>
        <w:tc>
          <w:tcPr>
            <w:tcW w:w="30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14,850,000</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Touraj Parang</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6/7/2023</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(11)</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176</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w:t>
            </w:r>
          </w:p>
        </w:tc>
        <w:tc>
          <w:tcPr>
            <w:tcW w:w="80" w:type="dxa"/>
            <w:vAlign w:val="bottom"/>
          </w:tcPr>
          <w:p>
            <w:pPr>
              <w:spacing w:after="0"/>
              <w:rPr>
                <w:sz w:val="14"/>
                <w:szCs w:val="14"/>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0.8588</w:t>
            </w:r>
          </w:p>
        </w:tc>
        <w:tc>
          <w:tcPr>
            <w:tcW w:w="9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6/6/2033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4/7/2021</w:t>
            </w:r>
          </w:p>
        </w:tc>
        <w:tc>
          <w:tcPr>
            <w:tcW w:w="3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100,343</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28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1,354,631</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4/7/2021</w:t>
            </w:r>
          </w:p>
        </w:tc>
        <w:tc>
          <w:tcPr>
            <w:tcW w:w="3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32,946</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(9)</w:t>
            </w:r>
          </w:p>
        </w:tc>
        <w:tc>
          <w:tcPr>
            <w:tcW w:w="28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444,771</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6/11/2024</w:t>
            </w:r>
          </w:p>
        </w:tc>
        <w:tc>
          <w:tcPr>
            <w:tcW w:w="3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5,358</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28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72,333</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1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9/5/2024</w:t>
            </w:r>
          </w:p>
        </w:tc>
        <w:tc>
          <w:tcPr>
            <w:tcW w:w="3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28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5,332,500</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10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Brian Read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9/5/2024</w:t>
            </w:r>
          </w:p>
        </w:tc>
        <w:tc>
          <w:tcPr>
            <w:tcW w:w="30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405,000</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1040" w:type="dxa"/>
            <w:vAlign w:val="bottom"/>
            <w:tcBorders>
              <w:right w:val="single" w:sz="8" w:color="CCEEFF"/>
            </w:tcBorders>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4/3/2024</w:t>
            </w:r>
          </w:p>
        </w:tc>
        <w:tc>
          <w:tcPr>
            <w:tcW w:w="30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right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240,000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3,240,000</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r>
    </w:tbl>
    <w:p>
      <w:pPr>
        <w:spacing w:after="0" w:line="144" w:lineRule="exact"/>
        <w:rPr>
          <w:sz w:val="20"/>
          <w:szCs w:val="20"/>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stock options above cover shares of our common stock following the closing of the Merger and were granted under the 2021 Stock Plan.</w:t>
      </w:r>
    </w:p>
    <w:p>
      <w:pPr>
        <w:spacing w:after="0" w:line="9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restricted shares listed above cover shares of our common stock following the closing of the Merger and were granted under the 2021 or 2023 Stock Plan.</w:t>
      </w:r>
    </w:p>
    <w:p>
      <w:pPr>
        <w:spacing w:after="0" w:line="9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fair market value of a share of Serve common stock on the date of grant, as determined by the Serve board of directors.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260" w:right="320" w:hanging="255"/>
        <w:spacing w:after="0" w:line="287" w:lineRule="auto"/>
        <w:tabs>
          <w:tab w:leader="none" w:pos="25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total value of the number of unvested restricted shares outstanding as of December 31, 2024, multiplied by $13.50, which is the per share value of Serve common stock as of December 31, 2024.</w:t>
      </w:r>
    </w:p>
    <w:p>
      <w:pPr>
        <w:spacing w:after="0" w:line="36" w:lineRule="exact"/>
        <w:rPr>
          <w:rFonts w:ascii="Times New Roman" w:cs="Times New Roman" w:eastAsia="Times New Roman" w:hAnsi="Times New Roman"/>
          <w:sz w:val="14"/>
          <w:szCs w:val="14"/>
          <w:color w:val="auto"/>
        </w:rPr>
      </w:pPr>
    </w:p>
    <w:p>
      <w:pPr>
        <w:ind w:left="260" w:right="160" w:hanging="255"/>
        <w:spacing w:after="0" w:line="232" w:lineRule="auto"/>
        <w:tabs>
          <w:tab w:leader="none" w:pos="25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shares are subject to a 4-year vesting schedule, with 25% of the shares vesting on February 18, 2022 and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shares vesting monthly over the remaining 36 month-period thereafter.</w:t>
      </w:r>
    </w:p>
    <w:p>
      <w:pPr>
        <w:spacing w:after="0" w:line="68" w:lineRule="exact"/>
        <w:rPr>
          <w:rFonts w:ascii="Times New Roman" w:cs="Times New Roman" w:eastAsia="Times New Roman" w:hAnsi="Times New Roman"/>
          <w:sz w:val="14"/>
          <w:szCs w:val="14"/>
          <w:color w:val="auto"/>
        </w:rPr>
      </w:pPr>
    </w:p>
    <w:p>
      <w:pPr>
        <w:ind w:left="260" w:right="40" w:hanging="255"/>
        <w:spacing w:after="0" w:line="232" w:lineRule="auto"/>
        <w:tabs>
          <w:tab w:leader="none" w:pos="25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shares are subject to a 4-year vesting schedule running from the date the Board retroactively determined that vesting should run regardless of Milestone achievement, with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shares vesting on July 15, 2022 and monthly thereafter.</w:t>
      </w:r>
    </w:p>
    <w:p>
      <w:pPr>
        <w:spacing w:after="0" w:line="6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as to 1/12</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total number of shares on June 1, 2024, and an additional 1/12</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total number of shares will vest on the same day of each month thereafter.</w:t>
      </w:r>
    </w:p>
    <w:p>
      <w:pPr>
        <w:spacing w:after="0" w:line="4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will vest as to 1/3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xml:space="preserve"> of the total number of shares on September 5, 2025 and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total number of shares on the same day of each month thereafter.</w:t>
      </w:r>
    </w:p>
    <w:p>
      <w:pPr>
        <w:spacing w:after="0" w:line="47" w:lineRule="exact"/>
        <w:rPr>
          <w:rFonts w:ascii="Times New Roman" w:cs="Times New Roman" w:eastAsia="Times New Roman" w:hAnsi="Times New Roman"/>
          <w:sz w:val="14"/>
          <w:szCs w:val="14"/>
          <w:color w:val="auto"/>
        </w:rPr>
      </w:pPr>
    </w:p>
    <w:p>
      <w:pPr>
        <w:ind w:left="260" w:right="300" w:hanging="255"/>
        <w:spacing w:after="0" w:line="232" w:lineRule="auto"/>
        <w:tabs>
          <w:tab w:leader="none" w:pos="25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shares are subject to a 4-year vesting schedule, with 25% of the shares vesting on March 22, 2022 and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shares vesting monthly over the remaining 36 month-period thereafter.</w:t>
      </w:r>
    </w:p>
    <w:p>
      <w:pPr>
        <w:spacing w:after="0" w:line="68" w:lineRule="exact"/>
        <w:rPr>
          <w:rFonts w:ascii="Times New Roman" w:cs="Times New Roman" w:eastAsia="Times New Roman" w:hAnsi="Times New Roman"/>
          <w:sz w:val="14"/>
          <w:szCs w:val="14"/>
          <w:color w:val="auto"/>
        </w:rPr>
      </w:pPr>
    </w:p>
    <w:p>
      <w:pPr>
        <w:ind w:left="260" w:right="120" w:hanging="255"/>
        <w:spacing w:after="0" w:line="232" w:lineRule="auto"/>
        <w:tabs>
          <w:tab w:leader="none" w:pos="25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are subject to a 4-year vesting schedule, with 25% of the shares vesting on April 29, 2025 and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shares vesting monthly over the remaining 36 month-period thereafter.</w:t>
      </w:r>
    </w:p>
    <w:p>
      <w:pPr>
        <w:spacing w:after="0" w:line="68"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are subject to a 4-year vesting schedule, with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option shares vesting on July 1, 2023 and monthly thereafter.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Compensation Arrangements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Touraj Parang Offer Letter</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March 1, 2021, Serve entered into an offer letter with the Company’s President and Chief Operating Officer, Touraj Parang, pursuant to which Mr. Parang is entitled to an annual base salary of $250,000 per year.</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Mr. Parang is eligible to participate in the Company employee benefits plans maintained by the Company and generally made available to similarly situated employees. Mr. Parang’s employment is “at-will” and may be terminated by either party at any time.</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Subject to the approval of the Board, Mr. Parang will be granted the Parang Time-Based Equity Award which consists of restricted stock award to purchase 666,040 shares of the Company’s common stock. The Parang Time-Based Equity Award will vest over 4 years at the rate of 25% of the total number of the Parang Time-Based Equity Award shares on the one-year anniversary of Mr. Parang’s start date and 1/48th of the total number of the Parang Time-Based Equity Award shares on each monthly anniversary thereafter, subject to his continuous service with the Company through each vesting date. In addition, subject to the approval of the Board, Mr. Parang will be granted the Parang Milestone-Based Equity Award which consists of restricted stock award to purchase 333,020 shares of the Company’s common stock. Once the milestone is achieved, the Parang Milestone-Based Equity Award will vest over 4 years thereafter at the rate of 1/48th of the total number of Parang Milestone-Based Equity Award shares on each monthly anniversary of the Parang Milestone Achievement Date, subject to his continuous service with the Company through each vesting date. For additional information regarding the Parang Time-Based Award and Parang Milestone-Based Award, please see the section below titled “</w:t>
      </w:r>
      <w:r>
        <w:rPr>
          <w:rFonts w:ascii="Times New Roman" w:cs="Times New Roman" w:eastAsia="Times New Roman" w:hAnsi="Times New Roman"/>
          <w:sz w:val="14"/>
          <w:szCs w:val="14"/>
          <w:i w:val="1"/>
          <w:iCs w:val="1"/>
          <w:color w:val="auto"/>
        </w:rPr>
        <w:t>Potential Payments Upon Termination or Change in Control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Time-Based Awards and Milestone-Based Awards</w:t>
      </w:r>
      <w:r>
        <w:rPr>
          <w:rFonts w:ascii="Times New Roman" w:cs="Times New Roman" w:eastAsia="Times New Roman" w:hAnsi="Times New Roman"/>
          <w:sz w:val="14"/>
          <w:szCs w:val="14"/>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Parang will continue to be employed by the Company under the terms of his offer letter with the Company.</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For additional information regarding a termination payment letter entered into with Mr. Parang in fiscal year 2021, please see the section below titled “</w:t>
      </w:r>
      <w:r>
        <w:rPr>
          <w:rFonts w:ascii="Times New Roman" w:cs="Times New Roman" w:eastAsia="Times New Roman" w:hAnsi="Times New Roman"/>
          <w:sz w:val="14"/>
          <w:szCs w:val="14"/>
          <w:i w:val="1"/>
          <w:iCs w:val="1"/>
          <w:color w:val="auto"/>
        </w:rPr>
        <w:t>Potential Payments Upon Termination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Change in Control — Parang Termination Payment Letter</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Brian Read Offer Letter</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8, 2024, Serve entered into an offer letter whereby Brian Read agreed to serve as the Company’s Chief Financial Officer beginning April 29, 2024 pursuant to which Mr. Read is entitled to an annual base salary of $250,000 per year (the "Brian Read Offer Letter").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Mr. Read is eligible to participate in the Company employee benefits plans maintained by the Company and generally made available to similarly situated employees. Mr. Read’s employment is “at-will” and may be terminated by either party at any time.</w:t>
      </w:r>
    </w:p>
    <w:p>
      <w:pPr>
        <w:spacing w:after="0" w:line="103" w:lineRule="exact"/>
        <w:rPr>
          <w:sz w:val="20"/>
          <w:szCs w:val="20"/>
          <w:color w:val="auto"/>
        </w:rPr>
      </w:pPr>
    </w:p>
    <w:p>
      <w:pPr>
        <w:ind w:right="5080"/>
        <w:spacing w:after="0" w:line="463" w:lineRule="auto"/>
        <w:rPr>
          <w:sz w:val="20"/>
          <w:szCs w:val="20"/>
          <w:color w:val="auto"/>
        </w:rPr>
      </w:pPr>
      <w:r>
        <w:rPr>
          <w:rFonts w:ascii="Times New Roman" w:cs="Times New Roman" w:eastAsia="Times New Roman" w:hAnsi="Times New Roman"/>
          <w:sz w:val="14"/>
          <w:szCs w:val="14"/>
          <w:color w:val="auto"/>
        </w:rPr>
        <w:t xml:space="preserve">Mr. Read will continue to be employed by the Company under the terms of his offer letter with the Company. </w:t>
      </w:r>
      <w:r>
        <w:rPr>
          <w:rFonts w:ascii="Times New Roman" w:cs="Times New Roman" w:eastAsia="Times New Roman" w:hAnsi="Times New Roman"/>
          <w:sz w:val="14"/>
          <w:szCs w:val="14"/>
          <w:b w:val="1"/>
          <w:bCs w:val="1"/>
          <w:i w:val="1"/>
          <w:iCs w:val="1"/>
          <w:color w:val="auto"/>
        </w:rPr>
        <w:t xml:space="preserve">Potential Payments Upon Termination or Change in Control </w:t>
      </w:r>
      <w:r>
        <w:rPr>
          <w:rFonts w:ascii="Times New Roman" w:cs="Times New Roman" w:eastAsia="Times New Roman" w:hAnsi="Times New Roman"/>
          <w:sz w:val="14"/>
          <w:szCs w:val="14"/>
          <w:i w:val="1"/>
          <w:iCs w:val="1"/>
          <w:color w:val="auto"/>
        </w:rPr>
        <w:t>Time-Based Awards and Milestone-Based Awards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Time-Based Awards and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after the date of involuntary termination.</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event the applicable executive’s service with the Company terminates for any reason, any unvested shares subject to the Time-Based Awards and Milestone-Based Awards granted to Dr. Kashani and Mr. Parang may be repurchased by the Company within 3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3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For purposes of the Time-Based Awards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 (iv) the executive’s repeated failure to follow reasonable and lawful instructions from the Board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 (vii) 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For purposes of the Kashani Time-Based Award and the Kashani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the executive’s then-current base salary is reduced by more than 10% (other than as part of an across-the-board salary reduction applicable to all similarly situated employees); (ii) a material reduction of the executive’s duties, authority, responsibilities or reporting relationship, relative to the executive’s duties, authority, responsibilities or reporting relationship as in effect immediately prior to such reduction; or (iii) the Company (or its successor) conditions the executive’s continued service on the executive being transferred to a site of employment that would increase the executive’s one-way commute by more than 50 miles from the executive’s then-principal residence. In order for the executive to resign for good reason, the executive must provide written notice to the Company of the existence of the good reason condition within 30 days of the initial existence of such condition. Upon receipt of such notice, the Company will have 30 days during which it may remedy the condition and not be required to provide for the acceleration described herein as a result of such proposed resignation. If the condition is not remedied within such 30-day period, the executive may resign based on the condition specified in the notice effective no later than 60 days following the expiration of the Company’s 30-day cure period.</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purposes of the Parang Time-Based Award and the Parang Milestone-Based Award, “good reason” means the executive’s resignation due to the occurrence of any of the following conditions which occurs without the executive’s written consent, provided that the requirements regarding advance notice and an opportunity to cure set forth below are satisfied: (i) a reduction of the executive’s then current base salary by 10% or more unless such reduction is part of 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generalized salary reduction affecting similarly situated employees; (ii) a change in the executive’s position with the Company that materially reduces the executive’s duties, level of authority or responsibility; or (iii) the Company conditions the executive’s continued service with the Company on the executive’s being transferred to a site of employment that would increase the executive’s one-way commute by more than 35 miles from Purchaser’s then principal residence.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Parang Termination Payment Letter</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June 23, 2021, Serve entered into a termination payment letter agreement with Mr. Parang (the “Termination Payment Letter”), which provides that if (i) 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30th day after the date of termination.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Kashani Termination Payment Letter</w:t>
      </w:r>
    </w:p>
    <w:p>
      <w:pPr>
        <w:spacing w:after="0" w:line="1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30th day after the date of termination.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Brian Read Offer Letter</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case of Mr. Read’s Involuntary Termination or Resignation for Good Reason (each as defined in the Brian Read Offer Letter) prior to April 29, 2025 he will be entitled to pro rata acceleration of his initial grant of restricted stock units representing 240,000 shares of the Common Stock (the “Equity Award”) based on the number of months of service he has provided to the Company. The Equity Award is subject to the terms of the Company’s 2023 Equity Incentive Plan (as amended from time to time), the Company’s standard award agreements, and the Company’s clawback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Recovery Policy</w:t>
      </w:r>
    </w:p>
    <w:p>
      <w:pPr>
        <w:spacing w:after="0" w:line="1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accordance with the final rules adopted by the SEC and Nasdaq implementing the incentive-based compensation recovery provisions of the Dodd-Frank Act, our Board approved the Serve Robotics Inc. Compensation Recovery Policy, effective as of October 2, 2023,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committed to promoting high standards of ethical business conduct and compliance with applicable laws, rules and regulations. As part of this commitment, we have adopted our Insider Trading Policy governing the purchase, sale, and/or other dispositions of our securities by our directors, officers and employees that we believe is reasonably designed to promote compliance with insider trading laws, rules and regulations, and the exchange listing standards applicable to us. 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copy of our Insider Trading Policy, including any amendments thereto, is filed as Exhibit 19.1 to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Practices Related to the Grant of Certain Equity Awards Close in Time to the Release of Material Nonpublic Information</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policy is to not grant stock options or similar awards in anticipation of the release of material nonpublic information that is likely to result in changes to the price of our common stock, such as a significant positive or negative earnings announcement, and not time the public release of such information based on stock option grant dates. In addition, it is our policy to not grant stock options or similar awards during periods in which there is material nonpublic information about our company, including (i) during “blackout” periods or outside a “trading window” established in connection with the public release of earnings information under our insider trading policy (each, a “Blackout”) or (ii) at any time during the four business days prior to or the one business day following the filing of our periodic reports or the filing or furnishing of a Form 8-K that discloses material nonpublic information (each, a “Filing Window”). These restrictions do not apply to RSUs or other types of equity awards that do not include an exercise price related to the market price of our common stock on the date of grant.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executive officers are not permitted to choose the grant date for their individual stock option grants.</w:t>
      </w:r>
    </w:p>
    <w:p>
      <w:pPr>
        <w:spacing w:after="0" w:line="200" w:lineRule="exact"/>
        <w:rPr>
          <w:sz w:val="20"/>
          <w:szCs w:val="20"/>
          <w:color w:val="auto"/>
        </w:rPr>
      </w:pPr>
    </w:p>
    <w:p>
      <w:pPr>
        <w:ind w:right="1400"/>
        <w:spacing w:after="0" w:line="466" w:lineRule="auto"/>
        <w:rPr>
          <w:sz w:val="20"/>
          <w:szCs w:val="20"/>
          <w:color w:val="auto"/>
        </w:rPr>
      </w:pPr>
      <w:r>
        <w:rPr>
          <w:rFonts w:ascii="Times New Roman" w:cs="Times New Roman" w:eastAsia="Times New Roman" w:hAnsi="Times New Roman"/>
          <w:sz w:val="14"/>
          <w:szCs w:val="14"/>
          <w:color w:val="auto"/>
        </w:rPr>
        <w:t xml:space="preserve">During the period covered by this report, we have not timed the disclosure of material nonpublic information for the purpose of affecting the value of executive compensation. </w:t>
      </w:r>
      <w:r>
        <w:rPr>
          <w:rFonts w:ascii="Times New Roman" w:cs="Times New Roman" w:eastAsia="Times New Roman" w:hAnsi="Times New Roman"/>
          <w:sz w:val="14"/>
          <w:szCs w:val="14"/>
          <w:b w:val="1"/>
          <w:bCs w:val="1"/>
          <w:color w:val="auto"/>
        </w:rPr>
        <w:t>Description of the 2023 Equity Incentive Plan</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Set forth below is a summary of the material features of the 2023 Plan. The 2023 Plan is set forth in its entirety as an exhibit to this report, and all descriptions of the 2023 Plan contained in this section are qualified by reference to the complete text of the 2023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Purpose</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2023 Plan is intended to (i) attract and retain the best available personnel to ensure our success and accomplish our goals, (ii) incentivize employees, directors and independent contractors with long-term equity-based compensation to align their interests with our stockholders, and (iii) promote the success of our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Types of Stock Awards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2023 Plan permits the grant of incentive stock options, nonstatutory stock options, stock appreciation rights (“SARs”), restricted stock, restricted stock units (“RSUs”) and stock bonus awards (all such types of awards, collectively, “stock awards”).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Reserve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Number of Shares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Lapsed Awards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To the extent, stock awards or awards or shares issued under the 2021 Plan that are assumed by the Company pursuant to the Merger Agreement (“Existing Plan Awards”) expire or are forfeited or become unexercisable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Assumption or Substitution of Awards</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Plan Administrator (as defined below), from time to time, may determine to substitute or assume outstanding awards granted by another company, whether in connection with an acquisition of such other company or otherwise, by either: (a) assuming such award under the 2023 Plan or (b) granting a stock award under the 2023 Plan in substitution of such other company’s award. Such assumption or substitution will be permissible if the holder of the substituted or assumed award would have been eligible to be granted a stock award under the 2023 Plan if the other company had applied the rules of the 2023 Plan to such grant. In the event the Plan Administrator elects to assume an award granted by another company, subject to the requirements of Section 409A of the Code (“Section 409A”),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Plan shall not reduce the number of shares authorized for grant under the 2023 Plan or authorized for grant to a participant in any fiscal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Eligibility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Employees, directors and independent contractors or our affiliates are all eligible to participate in the 2023 Plan. However, Incentive Stock Options may only be granted to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Administration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2023 Plan is administered by our Board or a committee thereof, which committee will be constituted to satisfy applicable laws (the “Plan Administrator”). To the extent desirable to qualify transactions under the 2023 Plan as exempt under Rule 16b-3 of the Exchange Act, the transactions contemplated under the 2023 Plan will be structured to satisfy the requirements for exemption under Rule 16b-3.</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Subject to the terms of the 2023 Plan, the Plan Administrator has the authority, in its discretion, to (i) determine the fair market value in accordance with the 2023 Plan; (ii) select the service providers to whom stock awards may be granted under the 2023 Plan; (iii) determine the number of shares to be covered by each stock award granted under the 2023 Plan; (iv) approve forms of stock award agreements for use under the 2023 Plan; (v) determine the terms and conditions, not inconsistent with the terms of the 2023 Plan, of any stock award granted thereunder; (vi) institute and determine the terms and conditions of an exchange program under the terms of the 2023 Plan (subject to stockholder approval); (vii) construe and interpret the terms of the 2023 Plan and stock awards granted pursuant to the 2023 Plan; (viii) correct any defect, supply any omission or reconcile any inconsistency in the 2023 Plan, any stock award or any award agreement; (ix) prescribe, amend and rescind rules and regulations relating to the 2023 Plan; (x) modify or amend each stock award (subject to the terms of the 2023 Plan); (xi)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(xii) allow participants to satisfy tax withholding obligations in such manner as prescribed in the 2023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2023 Plan.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To the extent permitted by applicable law, the Plan Administrator, in its sole discretion and on such terms and conditions as it may provide, may delegate all or any part of its authority and powers under the 2023 Plan to one or more of our directors or officers. To the extent permitted by applicable laws, the Plan Administrator may delegate to one or more officers who may be (but are not required to be) insiders subject to Section 16 of the Exchange Act, the authority to do any of the following (i) designate employees who are not insiders to be recipients of stock awards, (ii) determine the number of shares to be subject to such stock awards granted to such designated employees, and (iii) take any and all actions on behalf of the Plan Administrator other than any actions that affect the amount or form of compensation of Insiders or have material tax, accounting, financial, human resource or legal consequences to us or our affiliates; provided, however, that the Plan Administrator resolutions regarding any delegation with respect to (i) and (ii) will specify the total number of shares that may be subject to the stock awards granted by such officer and that such officer may not grant a stock award to himself or herself. Any stock awards will be granted on the form of award agreement most recently approved for use by the Plan Administrator, unless otherwise provided in the resolutions approving the delegation authority.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Plan Administrator will, in its sole discretion, determine the performance goals, if any, applicable to any stock award (including any adjustment(s) thereto that will be applied in determining the achievement of such performance goals) on or prior to the Determination Date (as defined in the 2023 Plan).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w:t>
      </w:r>
      <w:r>
        <w:rPr>
          <w:rFonts w:ascii="Times New Roman" w:cs="Times New Roman" w:eastAsia="Times New Roman" w:hAnsi="Times New Roman"/>
          <w:sz w:val="14"/>
          <w:szCs w:val="14"/>
          <w:i w:val="1"/>
          <w:iCs w:val="1"/>
          <w:color w:val="auto"/>
        </w:rPr>
        <w:t>Performance Goals</w:t>
      </w:r>
      <w:r>
        <w:rPr>
          <w:rFonts w:ascii="Times New Roman" w:cs="Times New Roman" w:eastAsia="Times New Roman" w:hAnsi="Times New Roman"/>
          <w:sz w:val="14"/>
          <w:szCs w:val="14"/>
          <w:color w:val="auto"/>
        </w:rPr>
        <w:t>” for more information.</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Stock awards granted to participants who are insiders subject to Section 16 of the Exchange Act must be approved by two or more “non-employee directors” of the Board (as defined in the regulations promulgated under Section 16 of the Exchange 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$0.10 million, such stock options will be treated as nonstatutory stock options. Incentive stock options may only be granted to employees.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term of each stock option will be stated in the stock award agreement. In the case of an incentive stock option, the term will be ten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2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the time a stock option is granted, the Plan Administrator will fix the period within which the stock option may be exercised and will determine any conditions that must be satisfied before the stock option may be exercised. A stock option may become exercisable upon completion of a specified period of service with us or one of our affiliates and/or based on the achievement of performance goals during a performance period as set out in advance in the participant’s award agreement. If a stock option is exercisable based on the satisfaction of performance goals, then the Plan Administrator will: (x) determine the nature, length and starting date of any performance period for such stock option; (y) select the performance goals to be used to measure the performance; and (z) determine what additional vesting conditions, if any, should apply. Please refer to the discussion below under “</w:t>
      </w:r>
      <w:r>
        <w:rPr>
          <w:rFonts w:ascii="Times New Roman" w:cs="Times New Roman" w:eastAsia="Times New Roman" w:hAnsi="Times New Roman"/>
          <w:sz w:val="14"/>
          <w:szCs w:val="14"/>
          <w:i w:val="1"/>
          <w:iCs w:val="1"/>
          <w:color w:val="auto"/>
        </w:rPr>
        <w:t>Performance Goals</w:t>
      </w:r>
      <w:r>
        <w:rPr>
          <w:rFonts w:ascii="Times New Roman" w:cs="Times New Roman" w:eastAsia="Times New Roman" w:hAnsi="Times New Roman"/>
          <w:sz w:val="14"/>
          <w:szCs w:val="14"/>
          <w:color w:val="auto"/>
        </w:rPr>
        <w:t>” for more information. The Plan Administrator will also determine the acceptable form of consideration for exercising a stock option, including the method of payment.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a participant ceases to be a service provider other than for “Cause” (as defined in the 2023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Any outstanding stock option (including any vested portion thereof) held by a participant shall immediately terminate in its entirety upon the participant being first notified of his or her termination for Cause.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Appreciation Rights (SARs)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Plan Administrator will determine the terms and conditions of each SAR, provided that the exercise price for each SAR will be no less than 100% of the fair market value of the underlying shares of common stock on the date of grant. An SAR may become exercisable upon completion of a specified period of service with us or one of our affiliates and/or based on the achievement of performance goals during a performance period as set out in advance in the participant’s award agreement. If an SAR is exercisable based on the satisfaction of performance goals, then the Plan Administrator will: (x) determine the nature, length and starting date of any performance period for such SAR; (y) select the performance goals to be used to measure the performance; and (z) determine what additional vesting conditions, if any, should apply. Please refer to the discussion below under “</w:t>
      </w:r>
      <w:r>
        <w:rPr>
          <w:rFonts w:ascii="Times New Roman" w:cs="Times New Roman" w:eastAsia="Times New Roman" w:hAnsi="Times New Roman"/>
          <w:sz w:val="14"/>
          <w:szCs w:val="14"/>
          <w:i w:val="1"/>
          <w:iCs w:val="1"/>
          <w:color w:val="auto"/>
        </w:rPr>
        <w:t>Performance Goals</w:t>
      </w:r>
      <w:r>
        <w:rPr>
          <w:rFonts w:ascii="Times New Roman" w:cs="Times New Roman" w:eastAsia="Times New Roman" w:hAnsi="Times New Roman"/>
          <w:sz w:val="14"/>
          <w:szCs w:val="14"/>
          <w:color w:val="auto"/>
        </w:rPr>
        <w:t>” for more information. Upon exercise of an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or shares of common stock, as determined by the Plan Administrator. SARs are exercisable at the times and on the terms established by the Plan Administrator.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and RSUs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Restricted stock awards are grants of shares of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common stock. Restrictions may lapse upon the completion of a specified period of service with us or one of our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for each unvested share or RSU; (y) select the performance goals to be used to measure the performance; and (z) determine what additional vesting conditions, if any, should apply.</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determining whether restricted stock or RSUs should be granted, and/or the vesting schedule for such a stock award, the Plan Administrator may impose whatever conditions on vesting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w:t>
      </w:r>
      <w:r>
        <w:rPr>
          <w:rFonts w:ascii="Times New Roman" w:cs="Times New Roman" w:eastAsia="Times New Roman" w:hAnsi="Times New Roman"/>
          <w:sz w:val="14"/>
          <w:szCs w:val="14"/>
          <w:i w:val="1"/>
          <w:iCs w:val="1"/>
          <w:color w:val="auto"/>
        </w:rPr>
        <w:t>Performance Goals</w:t>
      </w:r>
      <w:r>
        <w:rPr>
          <w:rFonts w:ascii="Times New Roman" w:cs="Times New Roman" w:eastAsia="Times New Roman" w:hAnsi="Times New Roman"/>
          <w:sz w:val="14"/>
          <w:szCs w:val="14"/>
          <w:color w:val="auto"/>
        </w:rPr>
        <w:t>” for more information.</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restricted stock with respect to which they were paid. During the period of restriction, such dividends or other distributions shall be subject to the same restrictions and risk of forfeiture as the shares of restricted stock with respect to which the dividends accrue and shall not be paid or distributed unless and until such related shares have vested and been earned.</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Bonus Awards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stock bonus award is an award of shares to an eligible person without a purchase price that is not subject to any restrictions. All stock bonus awards may but are not required to be made pursuant to an award agreement. The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Administrator will determine the number of shares to be awarded to the participant under a stock bonus award. Payment may be made in the form of cash, whole shares, or a combination thereof, based on the fair market value of the shares subject to the stock bonus award on the date of payment, as determined in the sole discretion of the Administrator.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Goals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 (20) earnings or book value per share; (21) economic value created; (22) pre-tax profit or after-tax profit; (23) strategic business criteria; (24) objective goals relating to divestitures, joint ventures, mergers, acquisitions and similar transactions;</w:t>
      </w:r>
    </w:p>
    <w:p>
      <w:pPr>
        <w:spacing w:after="0" w:line="4" w:lineRule="exact"/>
        <w:rPr>
          <w:sz w:val="20"/>
          <w:szCs w:val="20"/>
          <w:color w:val="auto"/>
        </w:rPr>
      </w:pPr>
    </w:p>
    <w:p>
      <w:pPr>
        <w:jc w:val="both"/>
        <w:ind w:firstLine="5"/>
        <w:spacing w:after="0" w:line="259" w:lineRule="auto"/>
        <w:tabs>
          <w:tab w:leader="none" w:pos="283"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Outside Director Limitations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Stock awards granted during a single fiscal year under the 2023 Plan or otherwise, taken together with any cash fees paid during such fiscal year for services on the Board, shall not exceed $0.50 million in total value for any non-employee director (“Outside Director”) (calculating the value of any such stock awards, in each case, based on the grant date fair value of such stock awards for financial reporting purposes). Such applicable limit shall include the value of any stock awards that are received in lieu of all or a portion of any annual committee cash retainers or other similar cash based payments. Stock awards granted to an individual while he or she was serving in the capacity as an employee or while he or she was an independent contractor but not an Outside Director will not count for purposes of these limitations.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Leaves of Absence / Transfer Between Locations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subsidiary.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Time Commitment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event a participant’s regular level of time commitment in the performance of his or her services for us or one of our affiliates is reduced (for example, and without limitation, if the participant is an employee and the employee has a change in status from full-time to part-time or takes an extended leave of absence) after the date of grant of any stock award, the Plan Administrator, in its sole discretion, may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schedule applicable to such stock award (in accordance with Section 409A, as applicable). In the event of any such reduction, the participant will have no right with respect to any portion of the stock award that is so amended.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Nontransferability of Stock Awards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Recoupment Policy</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Plan, a stock award granted under the 2023 Plan shall be subject to the Company’s clawback policy as may be established and/or amended from time to time, including the Compensation Recovery Policy.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 For the avoidance of doubt, each participant will be subject to compliance with applicable laws, the Company’s Code of Business Conduct and Ethics, and the Company’s corporate policies, as applicable, including without limitation the Company’s Compensation Recovery Policy. Notwithstanding anything to the contrary herein, (i) compliance with applicable law, the Company’s Code of Business Conduct and Ethics, and the Company’s corporate policies, as applicable, will be a pre-condition to earning, or vesting in respect of, any award under the 2023 Plan and (ii) any awards under the 2023 Plan which are subject to the Company’s Compensation Recovery Policy will not be earned or vested, even if already granted, paid or settled, until the Company’s Compensation Recovery Policy ceases to apply to such awards and any other vesting conditions applicable to such awards are satisfied.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event of a stock split, reverse stock split, stock dividend, combination, consolidation, recapitalization or reclassification of the shares, subdivision of the shares, a rights offering, a reorganization, merger, spin-off, split-up, repurchase, or exchange of common stock or other securities of us or other significant corporate transaction, or other change affecting common stock occurs, the Plan Administrator, in order to prevent dilution, diminution or enlargement of the benefits or potential benefits intended to be made available under the 2023 Plan, will, in such manner as it may deem equitable, adjust the number, kind and class of securities that may be delivered under the 2023 Plan and/or the number, class, kind and price of securities covered by each outstanding stock award; provided that all such adjustment will be made in a manner that does not result in taxation under Section 409A.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 Transaction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2023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(e) the opportunity for participants to exercise the stock options prior to the occurrence of the corporate transaction and the termination (for no consideration) upon the consummation of such corporate transaction of any stock options not exercised prior thereto; or (f) the cancellation of outstanding stock awards in exchange for no consideration.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Control</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stock award may be subject to additional acceleration of vesting and exercisability upon or after a “Change in Control” (as defined in the 2023 Plan) as may be provided in the award agreement for such stock award or as may be provided in any other written agreement between us or any affiliate and the participant, but in the absence of such provision, no such acceleration will occur.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Termination and Duration of the 2023 Plan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2023 Plan will continue in effect for a term of 10 years measured from the date the 2023 Plan was approved by our Board, unless terminated earlier under the terms of the 2023 Plan. The Plan Administrator may at any time amend, alter, suspend or terminate the 2023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Federal Tax Aspects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price—the appreciation value—on the date of exercise. Any additional gain or loss recognized upon any later disposition of the shares generally will be long-term or short-term capital gain or loss, depending on whether the shares are held for more than one year.</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participant who receives restricted stock will not have taxable income until vesting unless the participant timely files an election under Section 83(b) of the Code to be taxed at the time of grant (“Section 83(b) election”).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imposes certain restrictions on deferred compensation arrangements. Stock awards that are treated as deferred compensation under Section 409A are intended to meet the requirements of this section of the Code.</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us withhold otherwise deliverable cash or shares, or delivering to us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we deem to be reasonable and in accordance with applicable laws.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will be entitled to a tax deduction in connection with a stock award under the 2023 Plan only in an amount equal to the ordinary income realized by the participant and at the time the participant recognizes the income. Section 162(m) of the Code places a limit of $1 million on the amount of compensation that we may deduct as a business expense in any year with respect to certain of our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our stockholders 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maintain flexibility in our approach to executive compensation and to structure a program that we consider to be the most effective in attracting, motivating and retaining key employees.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Plan Benefits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2023 Plan does not provide for set benefits or amounts of awards and we have not approved any stock awards that are conditioned on stockholder approval of the 2023 Plan. We have not approved any stock awards under the 2023 Plan in connection with the Merger. All future awards to directors, executive officers, employees and consultants under the 2023 Plan are discretionary and cannot be determined at this time.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with respect to the beneficial ownership of our common stock as of February 24, 2025 by:</w:t>
      </w:r>
    </w:p>
    <w:p>
      <w:pPr>
        <w:spacing w:after="0" w:line="147" w:lineRule="exact"/>
        <w:rPr>
          <w:sz w:val="20"/>
          <w:szCs w:val="20"/>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5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current directors and executive officers as a group; and</w:t>
      </w:r>
    </w:p>
    <w:p>
      <w:pPr>
        <w:spacing w:after="0" w:line="146"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who beneficially owned more than 5% of our common stock.</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percentage of shares beneficially owned is computed on the basis of 56,892,029 shares of common stock outstanding as of February 24, 2025. Unless otherwise indicated, the address of each beneficial owner in the table below is c/o Serve Robotics Inc., 730 Broadway, Redwood City, CA 94063.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 of Common Stock Beneficially Owned</w:t>
            </w:r>
          </w:p>
        </w:tc>
      </w:tr>
      <w:tr>
        <w:trPr>
          <w:trHeight w:val="203"/>
        </w:trPr>
        <w:tc>
          <w:tcPr>
            <w:tcW w:w="8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2"/>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5% Stockholders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2"/>
        </w:trPr>
        <w:tc>
          <w:tcPr>
            <w:tcW w:w="81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Postmates, LLC</w:t>
            </w:r>
            <w:r>
              <w:rPr>
                <w:rFonts w:ascii="Times New Roman" w:cs="Times New Roman" w:eastAsia="Times New Roman" w:hAnsi="Times New Roman"/>
                <w:sz w:val="18"/>
                <w:szCs w:val="18"/>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5,298,833</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r>
      <w:tr>
        <w:trPr>
          <w:trHeight w:val="212"/>
        </w:trPr>
        <w:tc>
          <w:tcPr>
            <w:tcW w:w="8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7"/>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Ali Kashani</w:t>
            </w:r>
            <w:r>
              <w:rPr>
                <w:rFonts w:ascii="Times New Roman" w:cs="Times New Roman" w:eastAsia="Times New Roman" w:hAnsi="Times New Roman"/>
                <w:sz w:val="18"/>
                <w:szCs w:val="18"/>
                <w:color w:val="auto"/>
                <w:vertAlign w:val="superscript"/>
              </w:rPr>
              <w:t>(2)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2,150,894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202"/>
        </w:trPr>
        <w:tc>
          <w:tcPr>
            <w:tcW w:w="81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Touraj Parang</w:t>
            </w:r>
            <w:r>
              <w:rPr>
                <w:rFonts w:ascii="Times New Roman" w:cs="Times New Roman" w:eastAsia="Times New Roman" w:hAnsi="Times New Roman"/>
                <w:sz w:val="18"/>
                <w:szCs w:val="18"/>
                <w:color w:val="auto"/>
                <w:vertAlign w:val="superscript"/>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777,076</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202"/>
        </w:trPr>
        <w:tc>
          <w:tcPr>
            <w:tcW w:w="81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Olivier Vincent</w:t>
            </w:r>
            <w:r>
              <w:rPr>
                <w:rFonts w:ascii="Times New Roman" w:cs="Times New Roman" w:eastAsia="Times New Roman" w:hAnsi="Times New Roman"/>
                <w:sz w:val="18"/>
                <w:szCs w:val="18"/>
                <w:color w:val="auto"/>
                <w:vertAlign w:val="superscript"/>
              </w:rPr>
              <w:t>(4)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29,928</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1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David Goldberg</w:t>
            </w:r>
            <w:r>
              <w:rPr>
                <w:rFonts w:ascii="Times New Roman" w:cs="Times New Roman" w:eastAsia="Times New Roman" w:hAnsi="Times New Roman"/>
                <w:sz w:val="18"/>
                <w:szCs w:val="18"/>
                <w:color w:val="auto"/>
                <w:vertAlign w:val="superscript"/>
              </w:rPr>
              <w:t>(5)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21,425</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1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Lily Sarafan</w:t>
            </w:r>
            <w:r>
              <w:rPr>
                <w:rFonts w:ascii="Times New Roman" w:cs="Times New Roman" w:eastAsia="Times New Roman" w:hAnsi="Times New Roman"/>
                <w:sz w:val="18"/>
                <w:szCs w:val="18"/>
                <w:color w:val="auto"/>
                <w:vertAlign w:val="superscript"/>
              </w:rPr>
              <w:t>(5)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18,402</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1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Euan Abraham</w:t>
            </w:r>
            <w:r>
              <w:rPr>
                <w:rFonts w:ascii="Times New Roman" w:cs="Times New Roman" w:eastAsia="Times New Roman" w:hAnsi="Times New Roman"/>
                <w:sz w:val="18"/>
                <w:szCs w:val="18"/>
                <w:color w:val="auto"/>
                <w:vertAlign w:val="superscript"/>
              </w:rPr>
              <w:t>(6)</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21,128</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Brian Read</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Evan Dunn</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Anthony Armenta</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Sarfraz Maredia</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All directors and executive officers as a group (six persons)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3,018,853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r>
    </w:tbl>
    <w:p>
      <w:pPr>
        <w:spacing w:after="0" w:line="198" w:lineRule="exact"/>
        <w:rPr>
          <w:sz w:val="20"/>
          <w:szCs w:val="20"/>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shares of common stock.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hanging="255"/>
        <w:spacing w:after="0" w:line="287" w:lineRule="auto"/>
        <w:tabs>
          <w:tab w:leader="none" w:pos="25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Postmates, LLC is the wholly-owned subsidiary of Uber. The address of Uber is 1725 3rd Street, San Francisco, California 94158. The foregoing information is solely from a Schedule 13D reflecting beneficial ownership of the Company's common stock filed on May 8, 2024.</w:t>
      </w:r>
    </w:p>
    <w:p>
      <w:pPr>
        <w:spacing w:after="0" w:line="103" w:lineRule="exact"/>
        <w:rPr>
          <w:rFonts w:ascii="Times New Roman" w:cs="Times New Roman" w:eastAsia="Times New Roman" w:hAnsi="Times New Roman"/>
          <w:sz w:val="14"/>
          <w:szCs w:val="14"/>
          <w:color w:val="auto"/>
        </w:rPr>
      </w:pPr>
    </w:p>
    <w:p>
      <w:pPr>
        <w:jc w:val="both"/>
        <w:ind w:left="260" w:hanging="255"/>
        <w:spacing w:after="0" w:line="261" w:lineRule="auto"/>
        <w:tabs>
          <w:tab w:leader="none" w:pos="25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1,562,347 shares of common stock held directly by Ali Kashani, (ii) 16,070 shares of common stock held by Nikki Stoddart, the spouse of Dr. Kashani, (iii) 11,718 shares of common stock held by Salma Kashani, (iv) 1,172 shares of common stock held by Ali Sadeghi Hariri, (v) 1,562 shares underlying warrants to purchase common stock which are exercisable within 60 days of February 24, 2025, (vi) 807 shares of common stock underlying options which are or will become exercisable within 60 days of February 24, 2025 and (vii) 10,000 shares of restricted stock units which will become vested within 60 days of February 24, 2025. Dr. Kashani shares control of the shares of common stock held by Ms. Stoddart. 249,978 shares of common stock held by Dr. Kashani are subject to a repurchase option held by the Company in the event that Dr. Kashani’s service with the Company is terminated.</w:t>
      </w:r>
    </w:p>
    <w:p>
      <w:pPr>
        <w:spacing w:after="0" w:line="111" w:lineRule="exact"/>
        <w:rPr>
          <w:rFonts w:ascii="Times New Roman" w:cs="Times New Roman" w:eastAsia="Times New Roman" w:hAnsi="Times New Roman"/>
          <w:sz w:val="14"/>
          <w:szCs w:val="14"/>
          <w:color w:val="auto"/>
        </w:rPr>
      </w:pPr>
    </w:p>
    <w:p>
      <w:pPr>
        <w:jc w:val="both"/>
        <w:ind w:left="260" w:hanging="255"/>
        <w:spacing w:after="0" w:line="270" w:lineRule="auto"/>
        <w:tabs>
          <w:tab w:leader="none" w:pos="25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608,178 shares of Common stock held by Touraj Parang, (ii) 352 shares of common stock underlying options which are or will become exercisable within 60 days of February 24, 2025 and (iii) 2,143 shares of restricted stock units which will become vested within 60 days of February 24, 2025. 100,176 shares of common stock held by Mr. Parang are subject to a repurchase option held by the Company in the event that Mr. Parang’s service with the Company is terminated.</w:t>
      </w:r>
    </w:p>
    <w:p>
      <w:pPr>
        <w:spacing w:after="0" w:line="10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9,928 shares of common stock and (ii) 20,000 shares of of common stock underlying options which are or will become exercisable within 60 days of February 24, 2025.</w:t>
      </w:r>
    </w:p>
    <w:p>
      <w:pPr>
        <w:spacing w:after="0" w:line="15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w:t>
      </w:r>
    </w:p>
    <w:p>
      <w:pPr>
        <w:spacing w:after="0" w:line="146"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5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6,231 shares of common stock, (ii) 12,754 shares of of common stock underlying options which are or will become exercisable within 60 days of February 24, 2025 and (iii) 2,143 shares of restricted stock units which will become vested within 60 days of February 24,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as of December 31, 2024 regarding shares of common stock that may be used under our equity compensation plans.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600" w:type="dxa"/>
            <w:vAlign w:val="bottom"/>
            <w:gridSpan w:val="2"/>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2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600" w:type="dxa"/>
            <w:vAlign w:val="bottom"/>
            <w:gridSpan w:val="2"/>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38"/>
        </w:trPr>
        <w:tc>
          <w:tcPr>
            <w:tcW w:w="2860" w:type="dxa"/>
            <w:vAlign w:val="bottom"/>
            <w:gridSpan w:val="2"/>
          </w:tcPr>
          <w:p>
            <w:pPr>
              <w:jc w:val="center"/>
              <w:ind w:right="294"/>
              <w:spacing w:after="0" w:line="138" w:lineRule="exact"/>
              <w:rPr>
                <w:sz w:val="20"/>
                <w:szCs w:val="20"/>
                <w:color w:val="auto"/>
              </w:rPr>
            </w:pPr>
            <w:r>
              <w:rPr>
                <w:rFonts w:ascii="Times New Roman" w:cs="Times New Roman" w:eastAsia="Times New Roman" w:hAnsi="Times New Roman"/>
                <w:sz w:val="14"/>
                <w:szCs w:val="14"/>
                <w:b w:val="1"/>
                <w:bCs w:val="1"/>
                <w:color w:val="auto"/>
              </w:rPr>
              <w:t>exercise of outstanding options, warrants</w:t>
            </w:r>
          </w:p>
        </w:tc>
        <w:tc>
          <w:tcPr>
            <w:tcW w:w="140" w:type="dxa"/>
            <w:vAlign w:val="bottom"/>
          </w:tcPr>
          <w:p>
            <w:pPr>
              <w:spacing w:after="0"/>
              <w:rPr>
                <w:sz w:val="11"/>
                <w:szCs w:val="11"/>
                <w:color w:val="auto"/>
              </w:rPr>
            </w:pPr>
          </w:p>
        </w:tc>
        <w:tc>
          <w:tcPr>
            <w:tcW w:w="16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600" w:type="dxa"/>
            <w:vAlign w:val="bottom"/>
            <w:gridSpan w:val="2"/>
          </w:tcPr>
          <w:p>
            <w:pPr>
              <w:jc w:val="center"/>
              <w:ind w:right="74"/>
              <w:spacing w:after="0" w:line="138" w:lineRule="exact"/>
              <w:rPr>
                <w:sz w:val="20"/>
                <w:szCs w:val="20"/>
                <w:color w:val="auto"/>
              </w:rPr>
            </w:pPr>
            <w:r>
              <w:rPr>
                <w:rFonts w:ascii="Times New Roman" w:cs="Times New Roman" w:eastAsia="Times New Roman" w:hAnsi="Times New Roman"/>
                <w:sz w:val="14"/>
                <w:szCs w:val="14"/>
                <w:b w:val="1"/>
                <w:bCs w:val="1"/>
                <w:color w:val="auto"/>
              </w:rPr>
              <w:t>equity compensation plans (excluding</w:t>
            </w:r>
          </w:p>
        </w:tc>
        <w:tc>
          <w:tcPr>
            <w:tcW w:w="0" w:type="dxa"/>
            <w:vAlign w:val="bottom"/>
          </w:tcPr>
          <w:p>
            <w:pPr>
              <w:spacing w:after="0"/>
              <w:rPr>
                <w:sz w:val="1"/>
                <w:szCs w:val="1"/>
                <w:color w:val="auto"/>
              </w:rPr>
            </w:pPr>
          </w:p>
        </w:tc>
      </w:tr>
      <w:tr>
        <w:trPr>
          <w:trHeight w:val="149"/>
        </w:trPr>
        <w:tc>
          <w:tcPr>
            <w:tcW w:w="2860" w:type="dxa"/>
            <w:vAlign w:val="bottom"/>
            <w:gridSpan w:val="2"/>
          </w:tcPr>
          <w:p>
            <w:pPr>
              <w:jc w:val="center"/>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and rights and vesting of restricted stock</w:t>
            </w: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600" w:type="dxa"/>
            <w:vAlign w:val="bottom"/>
            <w:gridSpan w:val="2"/>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82"/>
        </w:trPr>
        <w:tc>
          <w:tcPr>
            <w:tcW w:w="2860" w:type="dxa"/>
            <w:vAlign w:val="bottom"/>
            <w:gridSpan w:val="2"/>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5"/>
                <w:szCs w:val="15"/>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600" w:type="dxa"/>
            <w:vAlign w:val="bottom"/>
            <w:gridSpan w:val="2"/>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1"/>
        </w:trPr>
        <w:tc>
          <w:tcPr>
            <w:tcW w:w="2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6,913,325</w:t>
            </w:r>
          </w:p>
        </w:tc>
        <w:tc>
          <w:tcPr>
            <w:tcW w:w="340" w:type="dxa"/>
            <w:vAlign w:val="bottom"/>
          </w:tcPr>
          <w:p>
            <w:pPr>
              <w:jc w:val="right"/>
              <w:ind w:right="174"/>
              <w:spacing w:after="0" w:line="99" w:lineRule="exact"/>
              <w:rPr>
                <w:sz w:val="20"/>
                <w:szCs w:val="20"/>
                <w:color w:val="auto"/>
              </w:rPr>
            </w:pPr>
            <w:r>
              <w:rPr>
                <w:rFonts w:ascii="Times New Roman" w:cs="Times New Roman" w:eastAsia="Times New Roman" w:hAnsi="Times New Roman"/>
                <w:sz w:val="9"/>
                <w:szCs w:val="9"/>
                <w:color w:val="auto"/>
                <w:w w:val="94"/>
              </w:rPr>
              <w:t>(1)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0.95</w:t>
            </w:r>
          </w:p>
        </w:tc>
        <w:tc>
          <w:tcPr>
            <w:tcW w:w="80" w:type="dxa"/>
            <w:vAlign w:val="bottom"/>
          </w:tcPr>
          <w:p>
            <w:pPr>
              <w:spacing w:after="0"/>
              <w:rPr>
                <w:sz w:val="16"/>
                <w:szCs w:val="16"/>
                <w:color w:val="auto"/>
              </w:rPr>
            </w:pP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1,590,603</w:t>
            </w:r>
          </w:p>
        </w:tc>
        <w:tc>
          <w:tcPr>
            <w:tcW w:w="1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w w:val="94"/>
              </w:rPr>
              <w:t>(2)</w:t>
            </w:r>
          </w:p>
        </w:tc>
        <w:tc>
          <w:tcPr>
            <w:tcW w:w="0" w:type="dxa"/>
            <w:vAlign w:val="bottom"/>
          </w:tcPr>
          <w:p>
            <w:pPr>
              <w:spacing w:after="0"/>
              <w:rPr>
                <w:sz w:val="1"/>
                <w:szCs w:val="1"/>
                <w:color w:val="auto"/>
              </w:rPr>
            </w:pPr>
          </w:p>
        </w:tc>
      </w:tr>
      <w:tr>
        <w:trPr>
          <w:trHeight w:val="214"/>
        </w:trPr>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gridSpan w:val="2"/>
          </w:tcPr>
          <w:p>
            <w:pPr>
              <w:jc w:val="right"/>
              <w:ind w:right="174"/>
              <w:spacing w:after="0"/>
              <w:rPr>
                <w:sz w:val="20"/>
                <w:szCs w:val="20"/>
                <w:color w:val="auto"/>
              </w:rPr>
            </w:pPr>
            <w:r>
              <w:rPr>
                <w:rFonts w:ascii="Times New Roman" w:cs="Times New Roman" w:eastAsia="Times New Roman" w:hAnsi="Times New Roman"/>
                <w:sz w:val="14"/>
                <w:szCs w:val="14"/>
                <w:color w:val="auto"/>
              </w:rPr>
              <w:t xml:space="preserve">6,913,325 </w:t>
            </w:r>
            <w:r>
              <w:rPr>
                <w:rFonts w:ascii="Times New Roman" w:cs="Times New Roman" w:eastAsia="Times New Roman" w:hAnsi="Times New Roman"/>
                <w:sz w:val="9"/>
                <w:szCs w:val="9"/>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0.95</w:t>
            </w:r>
          </w:p>
        </w:tc>
        <w:tc>
          <w:tcPr>
            <w:tcW w:w="80" w:type="dxa"/>
            <w:vAlign w:val="bottom"/>
          </w:tcPr>
          <w:p>
            <w:pPr>
              <w:spacing w:after="0"/>
              <w:rPr>
                <w:sz w:val="17"/>
                <w:szCs w:val="17"/>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1,590,603 </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0"/>
        </w:trPr>
        <w:tc>
          <w:tcPr>
            <w:tcW w:w="2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-161290</wp:posOffset>
            </wp:positionV>
            <wp:extent cx="7161530" cy="147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-437515</wp:posOffset>
            </wp:positionV>
            <wp:extent cx="7161530" cy="141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40" w:space="360"/>
            <w:col w:w="7480"/>
          </w:cols>
          <w:pgMar w:left="300" w:top="125" w:right="319" w:bottom="1440" w:gutter="0" w:footer="0" w:header="0"/>
          <w:type w:val="continuous"/>
        </w:sectPr>
      </w:pPr>
    </w:p>
    <w:p>
      <w:pPr>
        <w:ind w:left="320" w:hanging="264"/>
        <w:spacing w:after="0" w:line="287" w:lineRule="auto"/>
        <w:tabs>
          <w:tab w:leader="none" w:pos="31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total number of securities (column (a)) consists of (i) 554,200 shares of common stock issuable upon exercise of options, (ii) 996,799 of restricted stock awards and (iii) 5,362,326 of restricted stock units granted under the 2021 Plan and under the 2023 Plan.</w:t>
      </w:r>
    </w:p>
    <w:p>
      <w:pPr>
        <w:spacing w:after="0" w:line="92" w:lineRule="exact"/>
        <w:rPr>
          <w:rFonts w:ascii="Times New Roman" w:cs="Times New Roman" w:eastAsia="Times New Roman" w:hAnsi="Times New Roman"/>
          <w:sz w:val="14"/>
          <w:szCs w:val="14"/>
          <w:color w:val="auto"/>
        </w:rPr>
      </w:pPr>
    </w:p>
    <w:p>
      <w:pPr>
        <w:jc w:val="both"/>
        <w:ind w:left="320" w:hanging="264"/>
        <w:spacing w:after="0" w:line="264" w:lineRule="auto"/>
        <w:tabs>
          <w:tab w:leader="none" w:pos="31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1,590,603 shares of our common stock available for issuance under the 2023 Plan. The number of shares available for issuance under the 2023 Plan may, at the discretion of the Board or a committee thereof,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“Description of the 2023 Equity Incentive Plan”</w:t>
      </w:r>
      <w:r>
        <w:rPr>
          <w:rFonts w:ascii="Times New Roman" w:cs="Times New Roman" w:eastAsia="Times New Roman" w:hAnsi="Times New Roman"/>
          <w:sz w:val="14"/>
          <w:szCs w:val="14"/>
          <w:color w:val="auto"/>
        </w:rPr>
        <w:t xml:space="preserve"> under </w:t>
      </w:r>
      <w:r>
        <w:rPr>
          <w:rFonts w:ascii="Times New Roman" w:cs="Times New Roman" w:eastAsia="Times New Roman" w:hAnsi="Times New Roman"/>
          <w:sz w:val="14"/>
          <w:szCs w:val="14"/>
          <w:i w:val="1"/>
          <w:iCs w:val="1"/>
          <w:color w:val="auto"/>
        </w:rPr>
        <w:t>Part III, Item 11. Executive Compensation</w:t>
      </w:r>
      <w:r>
        <w:rPr>
          <w:rFonts w:ascii="Times New Roman" w:cs="Times New Roman" w:eastAsia="Times New Roman" w:hAnsi="Times New Roman"/>
          <w:sz w:val="14"/>
          <w:szCs w:val="14"/>
          <w:color w:val="auto"/>
        </w:rPr>
        <w:t xml:space="preserve"> and Note 10 of Notes to Financial Statements included in </w:t>
      </w:r>
      <w:r>
        <w:rPr>
          <w:rFonts w:ascii="Times New Roman" w:cs="Times New Roman" w:eastAsia="Times New Roman" w:hAnsi="Times New Roman"/>
          <w:sz w:val="14"/>
          <w:szCs w:val="14"/>
          <w:i w:val="1"/>
          <w:iCs w:val="1"/>
          <w:color w:val="auto"/>
        </w:rPr>
        <w:t>Part II, Item 8.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Supplementary Data </w:t>
      </w:r>
      <w:r>
        <w:rPr>
          <w:rFonts w:ascii="Times New Roman" w:cs="Times New Roman" w:eastAsia="Times New Roman" w:hAnsi="Times New Roman"/>
          <w:sz w:val="14"/>
          <w:szCs w:val="14"/>
          <w:color w:val="auto"/>
        </w:rPr>
        <w:t>of this report for additional information about our equity compensation plans and arrangements.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Below, we describe transactions since January 1, 2023,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our capital stock. Other than as described below, there have not been transactions to which we have been a party other than compensation arrangements, which are described under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Secured Subordinated Promissory Note with Ali Kashani</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27, 2023, Serve issued a Secured Subordinated Promissory Note (the “December 2023 Kashani Note”) to Ali Kashani, a holder of greater than 5% of the capital stock of Serve who serves as Chief Executive Officer and is a member of the Serve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June 28, 2023, Serve issued a Secured Subordinated Promissory Note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(the “Kashani Exit Fee”).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Transactions with Uber Technologies Inc.</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described elsewhere in this report, Serve is a spin-off of Uber. Serve was initially formed in 2017 as the X division of Postmates, which was acquired by Uber in 2020. Uber holds greater than 5% of our capital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Promissory Note</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 2024, we issued a convertible promissory note (the “Postmates Convertible Promissory Note”) to Postmates. The Postmates Convertible Promissory Note bears interest at a rate of 6.00% per year, compounded annually, and is due and payable upon request by Postmates on or after the 12-month anniversary of the original issuance date of the Postmates Convertible Promissory Note. We may not prepay or repay the Postmates Convertible Promissory Note in cash without Postmates’ consent. The aggregate gross proceeds from the issuance of the Postmates Convertible Promissory Note was $500,000.</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issuance of the Postmates Convertible Promissory Note was exempt from registration under Section 4(a)(2) of the Securities Act and Rule 506 of Regulation D promulgated by the SEC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Master Framework Agreement and Project Plan</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Uber and the Company entered into the Master Framework Agreement, effective September 3, 2021 which was amended by Amendment No. 1 to the Master Framework Agreement, dated June 7, 2022, Amendment No. 2 to the Master Framework Agreement, dated January 12, 2023, and Amendment No. 3 to the Master Framework Agreement, dated September 6, 2023 (as amended, the “Master Framework Agreement”). The term of the Master Framework Agreement has been extended twice and is currently effective until February 24, 2027 and automatically renews for one-year periods unless terminated. Pursuant to the Master Framework Agreement, the Company agreed to provide delivery robots for Uber deliveries and Uber to pay delivery fees based on the services provided by the delivery robots. In addition, among other things, under the Master Framework Agreement, the Company is obligated to obtain and maintain the necessary regulatory approvals and licenses and certain types and levels of insurance for the robots.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and Uber entered into separate Project Plans on February 3, 2022 (“Project Plan #1”) and May 26, 2022 (“Project Plan #2” and together with Project Plan #1, the “Project Plans”) for deployment of the Company’s robots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perform concurrent deliveries on Uber’s platform. Under Project Plan #1, Uber and the Company worked together to onboard 10 robots to perform concurrent deliveries on Uber’s platform in a mutually agreed upon operating area in Los Angeles, California. Entering into Project Plan #2 signified satisfactory completion of Project Plan #1. Under Project Plan #2, Uber and the Company are working together to deploy up to 2,000 robots on Uber’s platform in multiple cities in the U.S. Each of these Project Plans is governed by the terms of the Master Framework Agreement. Pursuant to the Project Plans, the Company and Uber have agreed to meet monthly to discuss completion dates and key milestones for the Master Framework Agreement and to establish operating areas.</w:t>
      </w:r>
    </w:p>
    <w:p>
      <w:pPr>
        <w:spacing w:after="0" w:line="1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Master Framework Agreement provides for certain negotiated indemnification terms, including indemnification by the Company for damages resulting from third-party intellectual property rights claims. The Project Plans require the Company to maintain commercial insurance during the term of the Project Plans, including for general liability, auto liability and workers’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Transactions with NVIDIA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Promissory Note</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2, 2024, we issued a convertible promissory note (“the NVIDIA Convertible Promissory Note”) to NVIDIA. The NVIDIA Convertible Promissory Note bears interest at a rate of 6.00% per year, compounded annually, and are due and payable upon request by NVIDIA on or after the 12-month anniversary of the original issuance date of the NVIDIA Convertible Promissory Note. We may not prepay or repay the NVIDIA Convertible Promissory Note in cash without NVIDIA’s consent. The aggregate gross proceeds from the issuance of the NVIDIA Convertible Promissory Note was $2,500,000.</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Financings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SAFEs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tcPr>
          <w:p>
            <w:pPr>
              <w:jc w:val="center"/>
              <w:ind w:right="329"/>
              <w:spacing w:after="0" w:line="143"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4"/>
        </w:trPr>
        <w:tc>
          <w:tcPr>
            <w:tcW w:w="9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8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tcPr>
          <w:p>
            <w:pPr>
              <w:jc w:val="center"/>
              <w:ind w:right="329"/>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Price for</w:t>
            </w:r>
          </w:p>
        </w:tc>
        <w:tc>
          <w:tcPr>
            <w:tcW w:w="0" w:type="dxa"/>
            <w:vAlign w:val="bottom"/>
          </w:tcPr>
          <w:p>
            <w:pPr>
              <w:spacing w:after="0"/>
              <w:rPr>
                <w:sz w:val="1"/>
                <w:szCs w:val="1"/>
                <w:color w:val="auto"/>
              </w:rPr>
            </w:pPr>
          </w:p>
        </w:tc>
      </w:tr>
      <w:tr>
        <w:trPr>
          <w:trHeight w:val="182"/>
        </w:trPr>
        <w:tc>
          <w:tcPr>
            <w:tcW w:w="9040" w:type="dxa"/>
            <w:vAlign w:val="bottom"/>
            <w:tcBorders>
              <w:bottom w:val="single" w:sz="8" w:color="auto"/>
            </w:tcBorders>
            <w:gridSpan w:val="5"/>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8"/>
              </w:rPr>
              <w:t>2022 SAFEs</w:t>
            </w:r>
          </w:p>
        </w:tc>
        <w:tc>
          <w:tcPr>
            <w:tcW w:w="0" w:type="dxa"/>
            <w:vAlign w:val="bottom"/>
          </w:tcPr>
          <w:p>
            <w:pPr>
              <w:spacing w:after="0"/>
              <w:rPr>
                <w:sz w:val="1"/>
                <w:szCs w:val="1"/>
                <w:color w:val="auto"/>
              </w:rPr>
            </w:pPr>
          </w:p>
        </w:tc>
      </w:tr>
      <w:tr>
        <w:trPr>
          <w:trHeight w:val="123"/>
        </w:trPr>
        <w:tc>
          <w:tcPr>
            <w:tcW w:w="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shd w:val="clear" w:color="auto" w:fill="CCEEFF"/>
              </w:rPr>
              <w:t>NEO 2.0, L.P.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60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500" w:type="dxa"/>
            <w:vAlign w:val="bottom"/>
            <w:gridSpan w:val="2"/>
            <w:shd w:val="clear" w:color="auto" w:fill="CCEEFF"/>
          </w:tcPr>
          <w:p>
            <w:pPr>
              <w:spacing w:after="0"/>
              <w:rPr>
                <w:sz w:val="10"/>
                <w:szCs w:val="10"/>
                <w:color w:val="auto"/>
              </w:rPr>
            </w:pPr>
          </w:p>
        </w:tc>
        <w:tc>
          <w:tcPr>
            <w:tcW w:w="400" w:type="dxa"/>
            <w:vAlign w:val="bottom"/>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987,483</w:t>
            </w:r>
          </w:p>
        </w:tc>
        <w:tc>
          <w:tcPr>
            <w:tcW w:w="0" w:type="dxa"/>
            <w:vAlign w:val="bottom"/>
          </w:tcPr>
          <w:p>
            <w:pPr>
              <w:spacing w:after="0"/>
              <w:rPr>
                <w:sz w:val="1"/>
                <w:szCs w:val="1"/>
                <w:color w:val="auto"/>
              </w:rPr>
            </w:pPr>
          </w:p>
        </w:tc>
      </w:tr>
      <w:tr>
        <w:trPr>
          <w:trHeight w:val="58"/>
        </w:trPr>
        <w:tc>
          <w:tcPr>
            <w:tcW w:w="8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7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9120" w:type="dxa"/>
            <w:vAlign w:val="bottom"/>
            <w:gridSpan w:val="6"/>
          </w:tcPr>
          <w:p>
            <w:pPr>
              <w:ind w:left="20"/>
              <w:spacing w:after="0" w:line="201" w:lineRule="exact"/>
              <w:rPr>
                <w:sz w:val="20"/>
                <w:szCs w:val="20"/>
                <w:color w:val="auto"/>
              </w:rPr>
            </w:pPr>
            <w:r>
              <w:rPr>
                <w:rFonts w:ascii="Times New Roman" w:cs="Times New Roman" w:eastAsia="Times New Roman" w:hAnsi="Times New Roman"/>
                <w:sz w:val="14"/>
                <w:szCs w:val="14"/>
                <w:color w:val="auto"/>
              </w:rPr>
              <w:t>NEO 2.0a, L.P.</w:t>
            </w:r>
            <w:r>
              <w:rPr>
                <w:rFonts w:ascii="Times New Roman" w:cs="Times New Roman" w:eastAsia="Times New Roman" w:hAnsi="Times New Roman"/>
                <w:sz w:val="18"/>
                <w:szCs w:val="18"/>
                <w:color w:val="auto"/>
                <w:vertAlign w:val="superscript"/>
              </w:rPr>
              <w:t>(1)</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12,517</w:t>
            </w:r>
          </w:p>
        </w:tc>
        <w:tc>
          <w:tcPr>
            <w:tcW w:w="0" w:type="dxa"/>
            <w:vAlign w:val="bottom"/>
          </w:tcPr>
          <w:p>
            <w:pPr>
              <w:spacing w:after="0"/>
              <w:rPr>
                <w:sz w:val="1"/>
                <w:szCs w:val="1"/>
                <w:color w:val="auto"/>
              </w:rPr>
            </w:pPr>
          </w:p>
        </w:tc>
      </w:tr>
      <w:tr>
        <w:trPr>
          <w:trHeight w:val="202"/>
        </w:trPr>
        <w:tc>
          <w:tcPr>
            <w:tcW w:w="91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NVIDIA</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9,000,000</w:t>
            </w:r>
          </w:p>
        </w:tc>
        <w:tc>
          <w:tcPr>
            <w:tcW w:w="0" w:type="dxa"/>
            <w:vAlign w:val="bottom"/>
          </w:tcPr>
          <w:p>
            <w:pPr>
              <w:spacing w:after="0"/>
              <w:rPr>
                <w:sz w:val="1"/>
                <w:szCs w:val="1"/>
                <w:color w:val="auto"/>
              </w:rPr>
            </w:pPr>
          </w:p>
        </w:tc>
      </w:tr>
      <w:tr>
        <w:trPr>
          <w:trHeight w:val="202"/>
        </w:trPr>
        <w:tc>
          <w:tcPr>
            <w:tcW w:w="9120" w:type="dxa"/>
            <w:vAlign w:val="bottom"/>
            <w:gridSpan w:val="6"/>
          </w:tcPr>
          <w:p>
            <w:pPr>
              <w:ind w:left="20"/>
              <w:spacing w:after="0" w:line="201" w:lineRule="exact"/>
              <w:rPr>
                <w:sz w:val="20"/>
                <w:szCs w:val="20"/>
                <w:color w:val="auto"/>
              </w:rPr>
            </w:pPr>
            <w:r>
              <w:rPr>
                <w:rFonts w:ascii="Times New Roman" w:cs="Times New Roman" w:eastAsia="Times New Roman" w:hAnsi="Times New Roman"/>
                <w:sz w:val="14"/>
                <w:szCs w:val="14"/>
                <w:color w:val="auto"/>
              </w:rPr>
              <w:t>Postmates, LLC</w:t>
            </w:r>
            <w:r>
              <w:rPr>
                <w:rFonts w:ascii="Times New Roman" w:cs="Times New Roman" w:eastAsia="Times New Roman" w:hAnsi="Times New Roman"/>
                <w:sz w:val="18"/>
                <w:szCs w:val="18"/>
                <w:color w:val="auto"/>
                <w:vertAlign w:val="superscript"/>
              </w:rPr>
              <w:t>(2)</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23"/>
        </w:trPr>
        <w:tc>
          <w:tcPr>
            <w:tcW w:w="15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8"/>
                <w:shd w:val="clear" w:color="auto" w:fill="CCEEFF"/>
              </w:rPr>
              <w:t>Wavemaker Pacific 4, L.P.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(3)</w:t>
            </w:r>
          </w:p>
        </w:tc>
        <w:tc>
          <w:tcPr>
            <w:tcW w:w="7500" w:type="dxa"/>
            <w:vAlign w:val="bottom"/>
            <w:gridSpan w:val="2"/>
            <w:vMerge w:val="restart"/>
            <w:shd w:val="clear" w:color="auto" w:fill="CCEEFF"/>
          </w:tcPr>
          <w:p>
            <w:pPr>
              <w:spacing w:after="0"/>
              <w:rPr>
                <w:sz w:val="10"/>
                <w:szCs w:val="10"/>
                <w:color w:val="auto"/>
              </w:rPr>
            </w:pPr>
          </w:p>
        </w:tc>
        <w:tc>
          <w:tcPr>
            <w:tcW w:w="400" w:type="dxa"/>
            <w:vAlign w:val="bottom"/>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57"/>
        </w:trPr>
        <w:tc>
          <w:tcPr>
            <w:tcW w:w="1520" w:type="dxa"/>
            <w:vAlign w:val="bottom"/>
            <w:gridSpan w:val="3"/>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500" w:type="dxa"/>
            <w:vAlign w:val="bottom"/>
            <w:gridSpan w:val="2"/>
            <w:vMerge w:val="continue"/>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17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each of NEO 2.0., L.P. and NEO 2.0a, L.P. is NEO GP. NEO GP and its affiliates held greater than 5% of the pre-Merger capital stock of Serve.</w:t>
      </w:r>
    </w:p>
    <w:p>
      <w:pPr>
        <w:spacing w:after="0" w:line="146" w:lineRule="exact"/>
        <w:rPr>
          <w:rFonts w:ascii="Times New Roman" w:cs="Times New Roman" w:eastAsia="Times New Roman" w:hAnsi="Times New Roman"/>
          <w:sz w:val="14"/>
          <w:szCs w:val="14"/>
          <w:color w:val="auto"/>
        </w:rPr>
      </w:pPr>
    </w:p>
    <w:p>
      <w:pPr>
        <w:ind w:left="260" w:hanging="255"/>
        <w:spacing w:after="0" w:line="287" w:lineRule="auto"/>
        <w:tabs>
          <w:tab w:leader="none" w:pos="25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Postmates, LLC is a wholly-owned subsidiary of Uber, which held greater than 5% of the pre-Merger capital stock of Serve. Sarfraz Maredia is VP, Head of Americas, Delivery at Uber and serves as a member of the Serve Board of Directors.</w:t>
      </w:r>
    </w:p>
    <w:p>
      <w:pPr>
        <w:spacing w:after="0" w:line="10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Wavemaker Pacific 4, L.P. held greater than 5% of Serve’s pre-Merger capital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covering the registrable securities (the “Registration Statement”). All of our directors, executive officers and holders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 more than 5% of our capital stock are parties to the Registration Rights Agreement. We must use commercially reasonable efforts to keep the Registration Statement effective for five years from the date it was declared effective by the SEC or until the date on which all registrable securities have been transferred other than to certain enumerated permitted assignees under the Registration Rights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Participation in Private Placement</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Transactions</w:t>
      </w:r>
    </w:p>
    <w:p>
      <w:pPr>
        <w:spacing w:after="0" w:line="157" w:lineRule="exact"/>
        <w:rPr>
          <w:sz w:val="20"/>
          <w:szCs w:val="20"/>
          <w:color w:val="auto"/>
        </w:rPr>
      </w:pPr>
    </w:p>
    <w:p>
      <w:pPr>
        <w:ind w:right="1360"/>
        <w:spacing w:after="0" w:line="460" w:lineRule="auto"/>
        <w:rPr>
          <w:sz w:val="20"/>
          <w:szCs w:val="20"/>
          <w:color w:val="auto"/>
        </w:rPr>
      </w:pPr>
      <w:r>
        <w:rPr>
          <w:rFonts w:ascii="Times New Roman" w:cs="Times New Roman" w:eastAsia="Times New Roman" w:hAnsi="Times New Roman"/>
          <w:sz w:val="14"/>
          <w:szCs w:val="14"/>
          <w:color w:val="auto"/>
        </w:rPr>
        <w:t xml:space="preserve">We have granted stock options to our executive officers and our directors. For a description of these stock options, see </w:t>
      </w:r>
      <w:r>
        <w:rPr>
          <w:rFonts w:ascii="Times New Roman" w:cs="Times New Roman" w:eastAsia="Times New Roman" w:hAnsi="Times New Roman"/>
          <w:sz w:val="14"/>
          <w:szCs w:val="14"/>
          <w:i w:val="1"/>
          <w:iCs w:val="1"/>
          <w:color w:val="auto"/>
        </w:rPr>
        <w:t>Part III, Item 11. Executive Compensation</w:t>
      </w:r>
      <w:r>
        <w:rPr>
          <w:rFonts w:ascii="Times New Roman" w:cs="Times New Roman" w:eastAsia="Times New Roman" w:hAnsi="Times New Roman"/>
          <w:sz w:val="14"/>
          <w:szCs w:val="14"/>
          <w:color w:val="auto"/>
        </w:rPr>
        <w:t xml:space="preserve"> of this report. </w:t>
      </w:r>
      <w:r>
        <w:rPr>
          <w:rFonts w:ascii="Times New Roman" w:cs="Times New Roman" w:eastAsia="Times New Roman" w:hAnsi="Times New Roman"/>
          <w:sz w:val="14"/>
          <w:szCs w:val="14"/>
          <w:b w:val="1"/>
          <w:bCs w:val="1"/>
          <w:color w:val="auto"/>
        </w:rPr>
        <w:t>Indemnification Agreements</w:t>
      </w:r>
    </w:p>
    <w:p>
      <w:pPr>
        <w:jc w:val="both"/>
        <w:spacing w:after="0" w:line="287" w:lineRule="auto"/>
        <w:rPr>
          <w:sz w:val="20"/>
          <w:szCs w:val="20"/>
          <w:color w:val="auto"/>
        </w:rPr>
      </w:pPr>
      <w:r>
        <w:rPr>
          <w:rFonts w:ascii="Times New Roman" w:cs="Times New Roman" w:eastAsia="Times New Roman" w:hAnsi="Times New Roman"/>
          <w:sz w:val="14"/>
          <w:szCs w:val="14"/>
          <w:color w:val="auto"/>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Procedures for Related Party Transactions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did not have a formal review and approval policy for related party transactions at the time of any of the transactions described above. However, all of the transactions described above were entered into after presentation, consideration and approval by our Board. Subsequently, our audit committee adopted a charter which requires the audit committee to conduct appropriate review and oversight of related party transactions.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Board engaged dbbmckennon (“dbbmckennon”) as the independent registered public accounting firm to audit the Company’s financial statements for the fiscal years ending December 31, 2024 and 2023. Set below are aggregate fees billed by dbbmckennon for professional services rendered for the years ended December 31,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3"/>
        </w:trPr>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Audit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74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302,928</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144,507</w:t>
            </w:r>
          </w:p>
        </w:tc>
        <w:tc>
          <w:tcPr>
            <w:tcW w:w="0" w:type="dxa"/>
            <w:vAlign w:val="bottom"/>
          </w:tcPr>
          <w:p>
            <w:pPr>
              <w:spacing w:after="0"/>
              <w:rPr>
                <w:sz w:val="1"/>
                <w:szCs w:val="1"/>
                <w:color w:val="auto"/>
              </w:rPr>
            </w:pPr>
          </w:p>
        </w:tc>
      </w:tr>
      <w:tr>
        <w:trPr>
          <w:trHeight w:val="58"/>
        </w:trPr>
        <w:tc>
          <w:tcPr>
            <w:tcW w:w="640" w:type="dxa"/>
            <w:vAlign w:val="bottom"/>
            <w:tcBorders>
              <w:bottom w:val="single" w:sz="8" w:color="CCEEFF"/>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8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vMerge w:val="continue"/>
            <w:shd w:val="clear" w:color="auto" w:fill="CCEEFF"/>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22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Audit-related fees </w:t>
            </w:r>
            <w:r>
              <w:rPr>
                <w:rFonts w:ascii="Times New Roman" w:cs="Times New Roman" w:eastAsia="Times New Roman" w:hAnsi="Times New Roman"/>
                <w:sz w:val="18"/>
                <w:szCs w:val="18"/>
                <w:color w:val="auto"/>
                <w:vertAlign w:val="superscript"/>
              </w:rPr>
              <w:t>(2)</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3"/>
        </w:trPr>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Tax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shd w:val="clear" w:color="auto" w:fill="CCEEFF"/>
              </w:rPr>
              <w:t>(3)</w:t>
            </w:r>
          </w:p>
        </w:tc>
        <w:tc>
          <w:tcPr>
            <w:tcW w:w="100" w:type="dxa"/>
            <w:vAlign w:val="bottom"/>
            <w:vMerge w:val="restart"/>
            <w:shd w:val="clear" w:color="auto" w:fill="CCEEFF"/>
          </w:tcPr>
          <w:p>
            <w:pPr>
              <w:spacing w:after="0"/>
              <w:rPr>
                <w:sz w:val="10"/>
                <w:szCs w:val="10"/>
                <w:color w:val="auto"/>
              </w:rPr>
            </w:pPr>
          </w:p>
        </w:tc>
        <w:tc>
          <w:tcPr>
            <w:tcW w:w="7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8"/>
        </w:trPr>
        <w:tc>
          <w:tcPr>
            <w:tcW w:w="52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748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 xml:space="preserve">All other fees </w:t>
            </w:r>
            <w:r>
              <w:rPr>
                <w:rFonts w:ascii="Times New Roman" w:cs="Times New Roman" w:eastAsia="Times New Roman" w:hAnsi="Times New Roman"/>
                <w:sz w:val="18"/>
                <w:szCs w:val="18"/>
                <w:color w:val="auto"/>
                <w:vertAlign w:val="superscript"/>
              </w:rPr>
              <w:t>(4)</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7"/>
        </w:trPr>
        <w:tc>
          <w:tcPr>
            <w:tcW w:w="8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144,507</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0" w:hanging="195"/>
        <w:spacing w:after="0" w:line="270" w:lineRule="auto"/>
        <w:tabs>
          <w:tab w:leader="none" w:pos="19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billed for professional services rendered by our independent registered public accounting firm for the audit of our annual consolidated financial statements and review of our interim consolidated financial statements or services that are normally provided by our independent registered public accounting firm in connection with statutory and regulatory filings or engagements. The fees for the audit services billed and to be billed dbbmckennon for the years ended December 31, 2024 and 2023 amounted to $302,928 and $144,507, respectively.</w:t>
      </w:r>
    </w:p>
    <w:p>
      <w:pPr>
        <w:spacing w:after="0" w:line="103" w:lineRule="exact"/>
        <w:rPr>
          <w:rFonts w:ascii="Times New Roman" w:cs="Times New Roman" w:eastAsia="Times New Roman" w:hAnsi="Times New Roman"/>
          <w:sz w:val="14"/>
          <w:szCs w:val="14"/>
          <w:color w:val="auto"/>
        </w:rPr>
      </w:pPr>
    </w:p>
    <w:p>
      <w:pPr>
        <w:ind w:left="200" w:hanging="195"/>
        <w:spacing w:after="0" w:line="287" w:lineRule="auto"/>
        <w:tabs>
          <w:tab w:leader="none" w:pos="19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billed for professional services rendered to provide consent for incorporation by reference of audit reports in certain registration statements and other forms filed with the SEC. here were no fees billed by dbbmckennon for audit-related services for the years ended December 31, 2024 and 2023.</w:t>
      </w:r>
    </w:p>
    <w:p>
      <w:pPr>
        <w:spacing w:after="0" w:line="103" w:lineRule="exact"/>
        <w:rPr>
          <w:rFonts w:ascii="Times New Roman" w:cs="Times New Roman" w:eastAsia="Times New Roman" w:hAnsi="Times New Roman"/>
          <w:sz w:val="14"/>
          <w:szCs w:val="14"/>
          <w:color w:val="auto"/>
        </w:rPr>
      </w:pPr>
    </w:p>
    <w:p>
      <w:pPr>
        <w:ind w:left="200" w:hanging="195"/>
        <w:spacing w:after="0" w:line="287" w:lineRule="auto"/>
        <w:tabs>
          <w:tab w:leader="none" w:pos="19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billed for professional services rendered by our independent registered public accounting firm for tax compliance, tax advice, and tax planning. There were no fees billed by dbbmckennon for tax services for the years ended December 31, 2024 and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All other fees consist of fees billed for all other services. There were no fees billed by dbbmckennon for other products and services for the years ended December 31, 2024 and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Committee’s Pre-Approval Policy and Procedures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Audit Committee’s charter, the Audit Committee is required to pre-approve all audit and permitted non-audit services performed by our independent registered public accountants to ensure that the provision of such services does not impair the public accountants’ independence. All audit and audit-related fees billed by dbbmckennon were approved by the Audit Committee in accordance with SEC requirements.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filed the following documents as part of this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“Index to the Consolidated Financial Statements”</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i w:val="1"/>
          <w:iCs w:val="1"/>
          <w:color w:val="auto"/>
        </w:rPr>
        <w:t>Part II, Item 8. Financial Statements and Supplementary Data</w:t>
      </w:r>
      <w:r>
        <w:rPr>
          <w:rFonts w:ascii="Times New Roman" w:cs="Times New Roman" w:eastAsia="Times New Roman" w:hAnsi="Times New Roman"/>
          <w:sz w:val="14"/>
          <w:szCs w:val="14"/>
          <w:color w:val="auto"/>
        </w:rPr>
        <w:t xml:space="preserve"> of this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Financial Statement Schedules</w:t>
      </w:r>
    </w:p>
    <w:p>
      <w:pPr>
        <w:spacing w:after="0" w:line="1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All schedules have been omitted because they are not required, not applicable, not present in amounts sufficient to require submission of the schedule, or the required information is otherwise included.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Exhibits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filed in response to Item 601 of Regulation S-K are listed in the Exhibit Index.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48"/>
        </w:trPr>
        <w:tc>
          <w:tcPr>
            <w:tcW w:w="10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00" w:type="dxa"/>
            <w:vAlign w:val="bottom"/>
            <w:gridSpan w:val="20"/>
          </w:tcPr>
          <w:p>
            <w:pPr>
              <w:jc w:val="center"/>
              <w:ind w:right="496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84"/>
        </w:trPr>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gridSpan w:val="2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9"/>
        </w:trPr>
        <w:tc>
          <w:tcPr>
            <w:tcW w:w="10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680" w:type="dxa"/>
            <w:vAlign w:val="bottom"/>
            <w:tcBorders>
              <w:bottom w:val="single" w:sz="8" w:color="0000EE"/>
            </w:tcBorders>
            <w:gridSpan w:val="22"/>
            <w:shd w:val="clear" w:color="auto" w:fill="CCEEFF"/>
          </w:tcPr>
          <w:p>
            <w:pPr>
              <w:spacing w:after="0" w:line="149"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Agreement and Plan of Merger and Reorganization among the Company, Serve Acquisition Corp. and Serve Robotics Inc. (incorporated by reference to Exhibit 2.1 to</w:t>
              </w:r>
            </w:hyperlink>
          </w:p>
        </w:tc>
        <w:tc>
          <w:tcPr>
            <w:tcW w:w="20" w:type="dxa"/>
            <w:vAlign w:val="bottom"/>
            <w:tcBorders>
              <w:bottom w:val="single" w:sz="8" w:color="CCEEFF"/>
            </w:tcBorders>
            <w:shd w:val="clear" w:color="auto" w:fill="CCEEFF"/>
          </w:tcPr>
          <w:p>
            <w:pPr>
              <w:spacing w:after="0"/>
              <w:rPr>
                <w:sz w:val="12"/>
                <w:szCs w:val="12"/>
                <w:color w:val="auto"/>
              </w:rPr>
            </w:pPr>
          </w:p>
        </w:tc>
      </w:tr>
      <w:tr>
        <w:trPr>
          <w:trHeight w:val="150"/>
        </w:trPr>
        <w:tc>
          <w:tcPr>
            <w:tcW w:w="10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700" w:type="dxa"/>
            <w:vAlign w:val="bottom"/>
            <w:gridSpan w:val="23"/>
            <w:shd w:val="clear" w:color="auto" w:fill="CCEEFF"/>
          </w:tcPr>
          <w:p>
            <w:pPr>
              <w:spacing w:after="0" w:line="150"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the Current Report on Form 8-K filed with the SEC on August 4, 2023)</w:t>
              </w:r>
            </w:hyperlink>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40" w:type="dxa"/>
            <w:vAlign w:val="bottom"/>
            <w:tcBorders>
              <w:bottom w:val="single" w:sz="8" w:color="0000EE"/>
            </w:tcBorders>
            <w:gridSpan w:val="20"/>
          </w:tcPr>
          <w:p>
            <w:pPr>
              <w:spacing w:after="0" w:line="159"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Certificate of Merger relating to the merger of Serve Acquisition Corp. with and into Serve Robotics Inc., filed with the Secretary of State of the State of Delaware on</w:t>
              </w:r>
            </w:hyperlink>
          </w:p>
        </w:tc>
        <w:tc>
          <w:tcPr>
            <w:tcW w:w="60" w:type="dxa"/>
            <w:vAlign w:val="bottom"/>
            <w:gridSpan w:val="3"/>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3"/>
          </w:tcPr>
          <w:p>
            <w:pPr>
              <w:spacing w:after="0" w:line="150"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July 31, 2023 (incorporated by reference to Exhibit 3.1 to the Current Report on Form 8-K filed with the SEC on August 4,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60" w:type="dxa"/>
            <w:vAlign w:val="bottom"/>
            <w:tcBorders>
              <w:bottom w:val="single" w:sz="8" w:color="0000EE"/>
            </w:tcBorders>
            <w:gridSpan w:val="21"/>
            <w:shd w:val="clear" w:color="auto" w:fill="CCEEFF"/>
          </w:tcPr>
          <w:p>
            <w:pPr>
              <w:spacing w:after="0" w:line="159"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Amended and Restated Certificate of Incorporation, filed with the Secretary of State of the State of Delaware on July 31, 2023 (incorporated by reference to Exhibit 3.2</w:t>
              </w:r>
            </w:hyperlink>
          </w:p>
        </w:tc>
        <w:tc>
          <w:tcPr>
            <w:tcW w:w="40" w:type="dxa"/>
            <w:vAlign w:val="bottom"/>
            <w:tcBorders>
              <w:bottom w:val="single" w:sz="8" w:color="CCEEFF"/>
            </w:tcBorders>
            <w:gridSpan w:val="2"/>
            <w:shd w:val="clear" w:color="auto" w:fill="CCEEFF"/>
          </w:tcPr>
          <w:p>
            <w:pPr>
              <w:spacing w:after="0"/>
              <w:rPr>
                <w:sz w:val="13"/>
                <w:szCs w:val="13"/>
                <w:color w:val="auto"/>
              </w:rPr>
            </w:pPr>
          </w:p>
        </w:tc>
      </w:tr>
      <w:tr>
        <w:trPr>
          <w:trHeight w:val="150"/>
        </w:trPr>
        <w:tc>
          <w:tcPr>
            <w:tcW w:w="10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3.2</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700" w:type="dxa"/>
            <w:vAlign w:val="bottom"/>
            <w:gridSpan w:val="23"/>
            <w:shd w:val="clear" w:color="auto" w:fill="CCEEFF"/>
          </w:tcPr>
          <w:p>
            <w:pPr>
              <w:spacing w:after="0" w:line="150"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to the Current Report on Form 8-K filed with the SEC on August 4, 2023).</w:t>
              </w:r>
            </w:hyperlink>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3"/>
          </w:tcPr>
          <w:p>
            <w:pPr>
              <w:spacing w:after="0" w:line="159"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Amended and Restated Bylaws (incorporated by reference to Exhibit 3.3 to the Current Report on Form 8-K filed with the SEC on August 4,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980" w:type="dxa"/>
            <w:vAlign w:val="bottom"/>
            <w:tcBorders>
              <w:bottom w:val="single" w:sz="8" w:color="0000EE"/>
            </w:tcBorders>
            <w:gridSpan w:val="12"/>
            <w:shd w:val="clear" w:color="auto" w:fill="CCEEFF"/>
          </w:tcPr>
          <w:p>
            <w:pPr>
              <w:spacing w:after="0" w:line="159"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Form of Bridge Warrant (incorporated by reference to Exhibit 4.1 to the Current Report on Form 8-K filed with the SEC on August 4, 2023).</w:t>
              </w:r>
            </w:hyperlink>
          </w:p>
        </w:tc>
        <w:tc>
          <w:tcPr>
            <w:tcW w:w="1720" w:type="dxa"/>
            <w:vAlign w:val="bottom"/>
            <w:tcBorders>
              <w:bottom w:val="single" w:sz="8" w:color="CCEEFF"/>
            </w:tcBorders>
            <w:gridSpan w:val="11"/>
            <w:shd w:val="clear" w:color="auto" w:fill="CCEEFF"/>
          </w:tcPr>
          <w:p>
            <w:pPr>
              <w:spacing w:after="0"/>
              <w:rPr>
                <w:sz w:val="15"/>
                <w:szCs w:val="15"/>
                <w:color w:val="auto"/>
              </w:rPr>
            </w:pPr>
          </w:p>
        </w:tc>
      </w:tr>
      <w:tr>
        <w:trPr>
          <w:trHeight w:val="159"/>
        </w:trPr>
        <w:tc>
          <w:tcPr>
            <w:tcW w:w="1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3"/>
          </w:tcPr>
          <w:p>
            <w:pPr>
              <w:spacing w:after="0" w:line="159"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Form of Placement Agent A Warrant (incorporated by reference to Exhibit 4.3 to the Current Report on Form 8-K filed with the SEC on August 4,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00" w:type="dxa"/>
            <w:vAlign w:val="bottom"/>
            <w:tcBorders>
              <w:bottom w:val="single" w:sz="8" w:color="0000EE"/>
            </w:tcBorders>
            <w:gridSpan w:val="18"/>
            <w:shd w:val="clear" w:color="auto" w:fill="CCEEFF"/>
          </w:tcPr>
          <w:p>
            <w:pPr>
              <w:spacing w:after="0" w:line="159"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Common Stock Warrant, dated February 7, 2024, issued by Serve Robotics Inc. to Magna New Mobility USA, Inc. (incorporated by reference to Exhibit 10.3 to the</w:t>
              </w:r>
            </w:hyperlink>
          </w:p>
        </w:tc>
        <w:tc>
          <w:tcPr>
            <w:tcW w:w="100" w:type="dxa"/>
            <w:vAlign w:val="bottom"/>
            <w:tcBorders>
              <w:bottom w:val="single" w:sz="8" w:color="CCEEFF"/>
            </w:tcBorders>
            <w:gridSpan w:val="5"/>
            <w:shd w:val="clear" w:color="auto" w:fill="CCEEFF"/>
          </w:tcPr>
          <w:p>
            <w:pPr>
              <w:spacing w:after="0"/>
              <w:rPr>
                <w:sz w:val="13"/>
                <w:szCs w:val="13"/>
                <w:color w:val="auto"/>
              </w:rPr>
            </w:pPr>
          </w:p>
        </w:tc>
      </w:tr>
      <w:tr>
        <w:trPr>
          <w:trHeight w:val="172"/>
        </w:trPr>
        <w:tc>
          <w:tcPr>
            <w:tcW w:w="10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4.3#</w:t>
            </w: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980" w:type="dxa"/>
            <w:vAlign w:val="bottom"/>
            <w:tcBorders>
              <w:bottom w:val="single" w:sz="8" w:color="0000EE"/>
            </w:tcBorders>
            <w:gridSpan w:val="5"/>
            <w:shd w:val="clear" w:color="auto" w:fill="CCEEFF"/>
          </w:tcPr>
          <w:p>
            <w:pPr>
              <w:spacing w:after="0" w:line="150"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Current Report on Form 8-K filed with the SEC on February 7, 2024).</w:t>
              </w:r>
            </w:hyperlink>
          </w:p>
        </w:tc>
        <w:tc>
          <w:tcPr>
            <w:tcW w:w="5720" w:type="dxa"/>
            <w:vAlign w:val="bottom"/>
            <w:tcBorders>
              <w:bottom w:val="single" w:sz="8" w:color="CCEEFF"/>
            </w:tcBorders>
            <w:gridSpan w:val="18"/>
            <w:shd w:val="clear" w:color="auto" w:fill="CCEEFF"/>
          </w:tcPr>
          <w:p>
            <w:pPr>
              <w:spacing w:after="0"/>
              <w:rPr>
                <w:sz w:val="14"/>
                <w:szCs w:val="14"/>
                <w:color w:val="auto"/>
              </w:rPr>
            </w:pPr>
          </w:p>
        </w:tc>
      </w:tr>
      <w:tr>
        <w:trPr>
          <w:trHeight w:val="159"/>
        </w:trPr>
        <w:tc>
          <w:tcPr>
            <w:tcW w:w="1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4.4</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3"/>
          </w:tcPr>
          <w:p>
            <w:pPr>
              <w:spacing w:after="0" w:line="15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Form of August Common Warrant (incorporated by reference to Exhibit 10.3 to the Current Report on Form 8-K filed with the SEC on August 28, 2024).</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4.5</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70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August Exchange Warrant (incorporated by reference to Exhibit 10.5 to the Current Report on Form 8-K filed with the SEC on August 28, 2024).</w:t>
              </w:r>
            </w:hyperlink>
          </w:p>
        </w:tc>
      </w:tr>
      <w:tr>
        <w:trPr>
          <w:trHeight w:val="159"/>
        </w:trPr>
        <w:tc>
          <w:tcPr>
            <w:tcW w:w="1000" w:type="dxa"/>
            <w:vAlign w:val="bottom"/>
            <w:tcBorders>
              <w:top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4.4</w:t>
            </w:r>
          </w:p>
        </w:tc>
        <w:tc>
          <w:tcPr>
            <w:tcW w:w="4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720" w:type="dxa"/>
            <w:vAlign w:val="bottom"/>
            <w:tcBorders>
              <w:top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 xml:space="preserve">Description of Securities </w:t>
              </w:r>
            </w:hyperlink>
            <w:r>
              <w:rPr>
                <w:rFonts w:ascii="Times New Roman" w:cs="Times New Roman" w:eastAsia="Times New Roman" w:hAnsi="Times New Roman"/>
                <w:sz w:val="14"/>
                <w:szCs w:val="14"/>
                <w:color w:val="0000FF"/>
              </w:rPr>
              <w:t xml:space="preserve">(incorporated </w:t>
            </w:r>
            <w:hyperlink r:id="rId132">
              <w:r>
                <w:rPr>
                  <w:rFonts w:ascii="Times New Roman" w:cs="Times New Roman" w:eastAsia="Times New Roman" w:hAnsi="Times New Roman"/>
                  <w:sz w:val="14"/>
                  <w:szCs w:val="14"/>
                  <w:color w:val="0000FF"/>
                </w:rPr>
                <w:t xml:space="preserve">by reference to </w:t>
              </w:r>
            </w:hyperlink>
            <w:r>
              <w:rPr>
                <w:rFonts w:ascii="Times New Roman" w:cs="Times New Roman" w:eastAsia="Times New Roman" w:hAnsi="Times New Roman"/>
                <w:sz w:val="14"/>
                <w:szCs w:val="14"/>
                <w:color w:val="0000FF"/>
              </w:rPr>
              <w:t xml:space="preserve">Exhibit </w:t>
            </w:r>
            <w:hyperlink r:id="rId132">
              <w:r>
                <w:rPr>
                  <w:rFonts w:ascii="Times New Roman" w:cs="Times New Roman" w:eastAsia="Times New Roman" w:hAnsi="Times New Roman"/>
                  <w:sz w:val="14"/>
                  <w:szCs w:val="14"/>
                  <w:color w:val="0000FF"/>
                </w:rPr>
                <w:t>4.8 to the Annual Report on Form 10-K filed with the SEC on February 29, 2024)</w:t>
              </w:r>
            </w:hyperlink>
            <w:r>
              <w:rPr>
                <w:rFonts w:ascii="Times New Roman" w:cs="Times New Roman" w:eastAsia="Times New Roman" w:hAnsi="Times New Roman"/>
                <w:sz w:val="14"/>
                <w:szCs w:val="14"/>
                <w:color w:val="000000"/>
              </w:rPr>
              <w:t>.</w:t>
            </w:r>
          </w:p>
        </w:tc>
        <w:tc>
          <w:tcPr>
            <w:tcW w:w="980" w:type="dxa"/>
            <w:vAlign w:val="bottom"/>
            <w:tcBorders>
              <w:top w:val="single" w:sz="8" w:color="CCEEFF"/>
            </w:tcBorders>
            <w:gridSpan w:val="6"/>
          </w:tcPr>
          <w:p>
            <w:pPr>
              <w:spacing w:after="0"/>
              <w:rPr>
                <w:sz w:val="13"/>
                <w:szCs w:val="13"/>
                <w:color w:val="auto"/>
              </w:rPr>
            </w:pPr>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00" w:type="dxa"/>
            <w:vAlign w:val="bottom"/>
            <w:tcBorders>
              <w:bottom w:val="single" w:sz="8" w:color="0000EE"/>
            </w:tcBorders>
            <w:gridSpan w:val="18"/>
            <w:shd w:val="clear" w:color="auto" w:fill="CCEEFF"/>
          </w:tcPr>
          <w:p>
            <w:pPr>
              <w:spacing w:after="0" w:line="159" w:lineRule="exact"/>
              <w:rPr>
                <w:rFonts w:ascii="Times New Roman" w:cs="Times New Roman" w:eastAsia="Times New Roman" w:hAnsi="Times New Roman"/>
                <w:sz w:val="14"/>
                <w:szCs w:val="14"/>
                <w:color w:val="0000EE"/>
                <w:shd w:val="clear" w:color="auto" w:fill="CCEEFF"/>
              </w:rPr>
            </w:pPr>
            <w:hyperlink r:id="rId133">
              <w:r>
                <w:rPr>
                  <w:rFonts w:ascii="Times New Roman" w:cs="Times New Roman" w:eastAsia="Times New Roman" w:hAnsi="Times New Roman"/>
                  <w:sz w:val="14"/>
                  <w:szCs w:val="14"/>
                  <w:color w:val="0000EE"/>
                  <w:shd w:val="clear" w:color="auto" w:fill="CCEEFF"/>
                </w:rPr>
                <w:t>Offer Letter, dated as of March 1, 2021, by and between Touraj Parang and the Company (incorporated by reference to Exhibit 10.1 to the Current Report on Form 8-K</w:t>
              </w:r>
            </w:hyperlink>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10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10.1+§</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spacing w:after="0" w:line="150" w:lineRule="exact"/>
              <w:rPr>
                <w:rFonts w:ascii="Times New Roman" w:cs="Times New Roman" w:eastAsia="Times New Roman" w:hAnsi="Times New Roman"/>
                <w:sz w:val="14"/>
                <w:szCs w:val="14"/>
                <w:color w:val="0000EE"/>
                <w:shd w:val="clear" w:color="auto" w:fill="CCEEFF"/>
              </w:rPr>
            </w:pPr>
            <w:hyperlink r:id="rId133">
              <w:r>
                <w:rPr>
                  <w:rFonts w:ascii="Times New Roman" w:cs="Times New Roman" w:eastAsia="Times New Roman" w:hAnsi="Times New Roman"/>
                  <w:sz w:val="14"/>
                  <w:szCs w:val="14"/>
                  <w:color w:val="0000EE"/>
                  <w:shd w:val="clear" w:color="auto" w:fill="CCEEFF"/>
                </w:rPr>
                <w:t>filed with the SEC on August 4, 2023).</w:t>
              </w:r>
            </w:hyperlink>
          </w:p>
        </w:tc>
        <w:tc>
          <w:tcPr>
            <w:tcW w:w="7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100" w:type="dxa"/>
            <w:vAlign w:val="bottom"/>
            <w:gridSpan w:val="4"/>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spacing w:after="0"/>
              <w:rPr>
                <w:sz w:val="13"/>
                <w:szCs w:val="13"/>
                <w:color w:val="auto"/>
              </w:rPr>
            </w:pPr>
          </w:p>
        </w:tc>
        <w:tc>
          <w:tcPr>
            <w:tcW w:w="380" w:type="dxa"/>
            <w:vAlign w:val="bottom"/>
            <w:gridSpan w:val="2"/>
            <w:shd w:val="clear" w:color="auto" w:fill="CCEEFF"/>
          </w:tcPr>
          <w:p>
            <w:pPr>
              <w:spacing w:after="0"/>
              <w:rPr>
                <w:sz w:val="13"/>
                <w:szCs w:val="13"/>
                <w:color w:val="auto"/>
              </w:rPr>
            </w:pPr>
          </w:p>
        </w:tc>
        <w:tc>
          <w:tcPr>
            <w:tcW w:w="1580" w:type="dxa"/>
            <w:vAlign w:val="bottom"/>
            <w:gridSpan w:val="5"/>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40" w:type="dxa"/>
            <w:vAlign w:val="bottom"/>
            <w:tcBorders>
              <w:bottom w:val="single" w:sz="8" w:color="0000FF"/>
            </w:tcBorders>
            <w:gridSpan w:val="20"/>
          </w:tcPr>
          <w:p>
            <w:pPr>
              <w:spacing w:after="0" w:line="15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Offer Letter, dated March 24, 2024, by and between Brian Read and Serve Operating Co. (incorporated by reference to Exhibit 10.1 to the Company’s Current Report on</w:t>
              </w:r>
            </w:hyperlink>
          </w:p>
        </w:tc>
        <w:tc>
          <w:tcPr>
            <w:tcW w:w="60" w:type="dxa"/>
            <w:vAlign w:val="bottom"/>
            <w:gridSpan w:val="3"/>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3"/>
          </w:tcPr>
          <w:p>
            <w:pPr>
              <w:spacing w:after="0" w:line="150"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Form 8-K filed with the SEC on April 9, 2024).</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20" w:type="dxa"/>
            <w:vAlign w:val="bottom"/>
            <w:tcBorders>
              <w:bottom w:val="single" w:sz="8" w:color="0000EE"/>
            </w:tcBorders>
            <w:gridSpan w:val="19"/>
            <w:shd w:val="clear" w:color="auto" w:fill="CCEEFF"/>
          </w:tcPr>
          <w:p>
            <w:pPr>
              <w:spacing w:after="0" w:line="159"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Parang Termination Payment Letter, dated as of June 23, 2021, by and between Touraj Parang and the Company (incorporated by reference to Exhibit 10.4 to the Current</w:t>
              </w:r>
            </w:hyperlink>
          </w:p>
        </w:tc>
        <w:tc>
          <w:tcPr>
            <w:tcW w:w="80" w:type="dxa"/>
            <w:vAlign w:val="bottom"/>
            <w:tcBorders>
              <w:bottom w:val="single" w:sz="8" w:color="CCEEFF"/>
            </w:tcBorders>
            <w:gridSpan w:val="4"/>
            <w:shd w:val="clear" w:color="auto" w:fill="CCEEFF"/>
          </w:tcPr>
          <w:p>
            <w:pPr>
              <w:spacing w:after="0"/>
              <w:rPr>
                <w:sz w:val="13"/>
                <w:szCs w:val="13"/>
                <w:color w:val="auto"/>
              </w:rPr>
            </w:pPr>
          </w:p>
        </w:tc>
      </w:tr>
      <w:tr>
        <w:trPr>
          <w:trHeight w:val="150"/>
        </w:trPr>
        <w:tc>
          <w:tcPr>
            <w:tcW w:w="10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10.3+</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700" w:type="dxa"/>
            <w:vAlign w:val="bottom"/>
            <w:gridSpan w:val="23"/>
            <w:shd w:val="clear" w:color="auto" w:fill="CCEEFF"/>
          </w:tcPr>
          <w:p>
            <w:pPr>
              <w:spacing w:after="0" w:line="150"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Report on Form 8-K filed with the SEC on August 4, 2023).</w:t>
              </w:r>
            </w:hyperlink>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40" w:type="dxa"/>
            <w:vAlign w:val="bottom"/>
            <w:tcBorders>
              <w:bottom w:val="single" w:sz="8" w:color="0000EE"/>
            </w:tcBorders>
            <w:gridSpan w:val="20"/>
          </w:tcPr>
          <w:p>
            <w:pPr>
              <w:spacing w:after="0" w:line="159"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Kashani Termination Payment Letter, dated as of September 27, 2021, by and between Ali Kashani and the Company (incorporated by reference to Exhibit 10.5 to the</w:t>
              </w:r>
            </w:hyperlink>
          </w:p>
        </w:tc>
        <w:tc>
          <w:tcPr>
            <w:tcW w:w="60" w:type="dxa"/>
            <w:vAlign w:val="bottom"/>
            <w:gridSpan w:val="3"/>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10.4+</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3"/>
          </w:tcPr>
          <w:p>
            <w:pPr>
              <w:spacing w:after="0" w:line="150"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Current Report on Form 8-K filed with the SEC on August 4,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40" w:type="dxa"/>
            <w:vAlign w:val="bottom"/>
            <w:tcBorders>
              <w:bottom w:val="single" w:sz="8" w:color="0000FF"/>
            </w:tcBorders>
            <w:gridSpan w:val="20"/>
            <w:shd w:val="clear" w:color="auto" w:fill="CCEEFF"/>
          </w:tcPr>
          <w:p>
            <w:pPr>
              <w:spacing w:after="0" w:line="15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Master Framework Agreement, dated as of September 3, 2021 by and between Uber Technologies, Inc. and the Company (incorporated by reference to Exhibit 10.9 to</w:t>
              </w:r>
            </w:hyperlink>
          </w:p>
        </w:tc>
        <w:tc>
          <w:tcPr>
            <w:tcW w:w="6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10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10.5#</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700" w:type="dxa"/>
            <w:vAlign w:val="bottom"/>
            <w:gridSpan w:val="23"/>
            <w:shd w:val="clear" w:color="auto" w:fill="CCEEFF"/>
          </w:tcPr>
          <w:p>
            <w:pPr>
              <w:spacing w:after="0" w:line="150"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Amendment No. 2 to the Registration Statement on Form S-1 filed with the SEC on November 28, 2023).</w:t>
              </w:r>
            </w:hyperlink>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20" w:type="dxa"/>
            <w:vAlign w:val="bottom"/>
            <w:tcBorders>
              <w:bottom w:val="single" w:sz="8" w:color="0000EE"/>
            </w:tcBorders>
            <w:gridSpan w:val="19"/>
          </w:tcPr>
          <w:p>
            <w:pPr>
              <w:spacing w:after="0" w:line="159"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Amendment No. 1 to the Master Framework Agreement, dated as of May 26, 2022 by and between Uber Technologies, Inc. and the Company (incorporated by reference</w:t>
              </w:r>
            </w:hyperlink>
          </w:p>
        </w:tc>
        <w:tc>
          <w:tcPr>
            <w:tcW w:w="80" w:type="dxa"/>
            <w:vAlign w:val="bottom"/>
            <w:gridSpan w:val="4"/>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10.6#</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3"/>
          </w:tcPr>
          <w:p>
            <w:pPr>
              <w:spacing w:after="0" w:line="150"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to Exhibit 10.10 to Amendment No. 2 to the Registration Statement on Form S-1 filed with the SEC on November 28,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40" w:type="dxa"/>
            <w:vAlign w:val="bottom"/>
            <w:tcBorders>
              <w:bottom w:val="single" w:sz="8" w:color="0000EE"/>
            </w:tcBorders>
            <w:gridSpan w:val="20"/>
            <w:shd w:val="clear" w:color="auto" w:fill="CCEEFF"/>
          </w:tcPr>
          <w:p>
            <w:pPr>
              <w:spacing w:after="0" w:line="159"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Amendment No. 2 to the Master Framework Agreement, dated as of January 12, 2023 by and between Uber Technologies, Inc. and the Company (incorporated by</w:t>
              </w:r>
            </w:hyperlink>
          </w:p>
        </w:tc>
        <w:tc>
          <w:tcPr>
            <w:tcW w:w="60" w:type="dxa"/>
            <w:vAlign w:val="bottom"/>
            <w:tcBorders>
              <w:bottom w:val="single" w:sz="8" w:color="CCEEFF"/>
            </w:tcBorders>
            <w:gridSpan w:val="3"/>
            <w:shd w:val="clear" w:color="auto" w:fill="CCEEFF"/>
          </w:tcPr>
          <w:p>
            <w:pPr>
              <w:spacing w:after="0"/>
              <w:rPr>
                <w:sz w:val="13"/>
                <w:szCs w:val="13"/>
                <w:color w:val="auto"/>
              </w:rPr>
            </w:pPr>
          </w:p>
        </w:tc>
      </w:tr>
      <w:tr>
        <w:trPr>
          <w:trHeight w:val="172"/>
        </w:trPr>
        <w:tc>
          <w:tcPr>
            <w:tcW w:w="10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10.7#</w:t>
            </w: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40" w:type="dxa"/>
            <w:vAlign w:val="bottom"/>
            <w:tcBorders>
              <w:bottom w:val="single" w:sz="8" w:color="0000EE"/>
            </w:tcBorders>
            <w:gridSpan w:val="11"/>
            <w:shd w:val="clear" w:color="auto" w:fill="CCEEFF"/>
          </w:tcPr>
          <w:p>
            <w:pPr>
              <w:spacing w:after="0" w:line="150"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reference to Exhibit 10.11 to Amendment No. 2 to the Registration Statement on Form S-1 filed with the SEC on November 28, 2023).</w:t>
              </w:r>
            </w:hyperlink>
          </w:p>
        </w:tc>
        <w:tc>
          <w:tcPr>
            <w:tcW w:w="2060" w:type="dxa"/>
            <w:vAlign w:val="bottom"/>
            <w:tcBorders>
              <w:bottom w:val="single" w:sz="8" w:color="CCEEFF"/>
            </w:tcBorders>
            <w:gridSpan w:val="12"/>
            <w:shd w:val="clear" w:color="auto" w:fill="CCEEFF"/>
          </w:tcPr>
          <w:p>
            <w:pPr>
              <w:spacing w:after="0"/>
              <w:rPr>
                <w:sz w:val="14"/>
                <w:szCs w:val="14"/>
                <w:color w:val="auto"/>
              </w:rPr>
            </w:pPr>
          </w:p>
        </w:tc>
      </w:tr>
      <w:tr>
        <w:trPr>
          <w:trHeight w:val="159"/>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20" w:type="dxa"/>
            <w:vAlign w:val="bottom"/>
            <w:tcBorders>
              <w:bottom w:val="single" w:sz="8" w:color="0000EE"/>
            </w:tcBorders>
            <w:gridSpan w:val="19"/>
          </w:tcPr>
          <w:p>
            <w:pPr>
              <w:spacing w:after="0" w:line="15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Amendment No. 3 to the Master Framework Agreement, dated as of September 6, 2023 by and between Uber Technologies, Inc. and the Company (incorporated by</w:t>
              </w:r>
            </w:hyperlink>
          </w:p>
        </w:tc>
        <w:tc>
          <w:tcPr>
            <w:tcW w:w="80" w:type="dxa"/>
            <w:vAlign w:val="bottom"/>
            <w:gridSpan w:val="4"/>
          </w:tcPr>
          <w:p>
            <w:pPr>
              <w:spacing w:after="0"/>
              <w:rPr>
                <w:sz w:val="13"/>
                <w:szCs w:val="13"/>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10.8#</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gridSpan w:val="23"/>
          </w:tcPr>
          <w:p>
            <w:pPr>
              <w:spacing w:after="0" w:line="150"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reference to Exhibit 10.12 to Amendment No. 2 to the Registration Statement on Form S-1 filed with the SEC on November 28, 2023).</w:t>
              </w:r>
            </w:hyperlink>
          </w:p>
        </w:tc>
      </w:tr>
      <w:tr>
        <w:trPr>
          <w:trHeight w:val="22"/>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00" w:type="dxa"/>
            <w:vAlign w:val="bottom"/>
            <w:tcBorders>
              <w:bottom w:val="single" w:sz="8" w:color="0000FF"/>
            </w:tcBorders>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Amendment No. 4 to the Master Framework Agreement; Amendment No. 2 to Project Plan 2, dated as of June 5, 2024 by and between Uber Technologies, Inc. and</w:t>
              </w:r>
            </w:hyperlink>
          </w:p>
        </w:tc>
        <w:tc>
          <w:tcPr>
            <w:tcW w:w="100" w:type="dxa"/>
            <w:vAlign w:val="bottom"/>
            <w:tcBorders>
              <w:bottom w:val="single" w:sz="8" w:color="CCEEFF"/>
            </w:tcBorders>
            <w:gridSpan w:val="5"/>
            <w:shd w:val="clear" w:color="auto" w:fill="CCEEFF"/>
          </w:tcPr>
          <w:p>
            <w:pPr>
              <w:spacing w:after="0"/>
              <w:rPr>
                <w:sz w:val="13"/>
                <w:szCs w:val="13"/>
                <w:color w:val="auto"/>
              </w:rPr>
            </w:pPr>
          </w:p>
        </w:tc>
      </w:tr>
      <w:tr>
        <w:trPr>
          <w:trHeight w:val="172"/>
        </w:trPr>
        <w:tc>
          <w:tcPr>
            <w:tcW w:w="10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10.9#</w:t>
            </w: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20" w:type="dxa"/>
            <w:vAlign w:val="bottom"/>
            <w:tcBorders>
              <w:bottom w:val="single" w:sz="8" w:color="0000FF"/>
            </w:tcBorders>
            <w:gridSpan w:val="13"/>
            <w:shd w:val="clear" w:color="auto" w:fill="CCEEFF"/>
          </w:tcPr>
          <w:p>
            <w:pPr>
              <w:spacing w:after="0" w:line="150"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Serve (incorporated by reference to Exhibit 10.13 to the Company’s Registration Statement on Form S-1 filed with the SEC on June 7, 2024).</w:t>
              </w:r>
            </w:hyperlink>
          </w:p>
        </w:tc>
        <w:tc>
          <w:tcPr>
            <w:tcW w:w="1680" w:type="dxa"/>
            <w:vAlign w:val="bottom"/>
            <w:tcBorders>
              <w:bottom w:val="single" w:sz="8" w:color="CCEEFF"/>
            </w:tcBorders>
            <w:gridSpan w:val="10"/>
            <w:shd w:val="clear" w:color="auto" w:fill="CCEEFF"/>
          </w:tcPr>
          <w:p>
            <w:pPr>
              <w:spacing w:after="0"/>
              <w:rPr>
                <w:sz w:val="14"/>
                <w:szCs w:val="14"/>
                <w:color w:val="auto"/>
              </w:rPr>
            </w:pPr>
          </w:p>
        </w:tc>
      </w:tr>
      <w:tr>
        <w:trPr>
          <w:trHeight w:val="721"/>
        </w:trPr>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40" w:type="dxa"/>
            <w:vAlign w:val="bottom"/>
            <w:gridSpan w:val="8"/>
          </w:tcPr>
          <w:p>
            <w:pPr>
              <w:jc w:val="right"/>
              <w:ind w:right="80"/>
              <w:spacing w:after="0"/>
              <w:rPr>
                <w:sz w:val="20"/>
                <w:szCs w:val="20"/>
                <w:color w:val="auto"/>
              </w:rPr>
            </w:pPr>
            <w:r>
              <w:rPr>
                <w:rFonts w:ascii="Times New Roman" w:cs="Times New Roman" w:eastAsia="Times New Roman" w:hAnsi="Times New Roman"/>
                <w:sz w:val="14"/>
                <w:szCs w:val="14"/>
                <w:color w:val="auto"/>
              </w:rPr>
              <w:t>87</w:t>
            </w:r>
          </w:p>
        </w:tc>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10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10.10#</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10.11#</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10.12#</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10.14#§</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10.15#§</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10.16</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10.17</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10.18</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10.19+</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10.20+</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10.21+</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10.22#§</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10.24#</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10.25*+</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10.26</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10.27</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10.28</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10.29</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16.1</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44">
        <w:r>
          <w:rPr>
            <w:rFonts w:ascii="Times New Roman" w:cs="Times New Roman" w:eastAsia="Times New Roman" w:hAnsi="Times New Roman"/>
            <w:sz w:val="14"/>
            <w:szCs w:val="14"/>
            <w:u w:val="single" w:color="auto"/>
            <w:color w:val="0000EE"/>
          </w:rPr>
          <w:t>Project Plan #1, dated as of February 3, 2022, by and between Uber Technologies, Inc. and the Company (incorporated by reference to Exhibit 10.13 to Amendment No.</w:t>
        </w:r>
      </w:hyperlink>
    </w:p>
    <w:p>
      <w:pPr>
        <w:spacing w:after="0" w:line="14"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44">
        <w:r>
          <w:rPr>
            <w:rFonts w:ascii="Times New Roman" w:cs="Times New Roman" w:eastAsia="Times New Roman" w:hAnsi="Times New Roman"/>
            <w:sz w:val="14"/>
            <w:szCs w:val="14"/>
            <w:u w:val="single" w:color="auto"/>
            <w:color w:val="0000EE"/>
          </w:rPr>
          <w:t>2 to the Registration Statement on Form S-1 filed with the SEC on November 28,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18415</wp:posOffset>
            </wp:positionV>
            <wp:extent cx="7161530" cy="2355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61530" cy="235585"/>
                    </a:xfrm>
                    <a:prstGeom prst="rect">
                      <a:avLst/>
                    </a:prstGeom>
                    <a:noFill/>
                  </pic:spPr>
                </pic:pic>
              </a:graphicData>
            </a:graphic>
          </wp:anchor>
        </w:drawing>
      </w:r>
    </w:p>
    <w:p>
      <w:pPr>
        <w:spacing w:after="0" w:line="15"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EE"/>
        </w:rPr>
      </w:pPr>
      <w:hyperlink r:id="rId146">
        <w:r>
          <w:rPr>
            <w:rFonts w:ascii="Times New Roman" w:cs="Times New Roman" w:eastAsia="Times New Roman" w:hAnsi="Times New Roman"/>
            <w:sz w:val="14"/>
            <w:szCs w:val="14"/>
            <w:u w:val="single" w:color="auto"/>
            <w:color w:val="0000EE"/>
          </w:rPr>
          <w:t>Project Plan #2, dated as of May 26, 2022, by and between Uber Technologies, Inc. and the Company (incorporated by reference to Exhibit 10.14 to Amendment No. 2</w:t>
        </w:r>
      </w:hyperlink>
      <w:r>
        <w:rPr>
          <w:rFonts w:ascii="Times New Roman" w:cs="Times New Roman" w:eastAsia="Times New Roman" w:hAnsi="Times New Roman"/>
          <w:sz w:val="14"/>
          <w:szCs w:val="14"/>
          <w:u w:val="single" w:color="auto"/>
          <w:color w:val="0000EE"/>
        </w:rPr>
        <w:t xml:space="preserve"> </w:t>
      </w:r>
      <w:hyperlink r:id="rId146">
        <w:r>
          <w:rPr>
            <w:rFonts w:ascii="Times New Roman" w:cs="Times New Roman" w:eastAsia="Times New Roman" w:hAnsi="Times New Roman"/>
            <w:sz w:val="14"/>
            <w:szCs w:val="14"/>
            <w:u w:val="single" w:color="auto"/>
            <w:color w:val="0000EE"/>
          </w:rPr>
          <w:t>to the Registration Statement on Form S-1 filed with the SEC on November 28, 2023).</w:t>
        </w:r>
      </w:hyperlink>
    </w:p>
    <w:p>
      <w:pPr>
        <w:spacing w:after="0" w:line="8"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Amendment No. 1 to Project Plan 2, dated April 25, 2024, by and between Uber Technologies, Inc. and the Company (incorporated by reference to Exhibit 10.5 to the</w:t>
        </w:r>
      </w:hyperlink>
      <w:r>
        <w:rPr>
          <w:rFonts w:ascii="Times New Roman" w:cs="Times New Roman" w:eastAsia="Times New Roman" w:hAnsi="Times New Roman"/>
          <w:sz w:val="14"/>
          <w:szCs w:val="14"/>
          <w:u w:val="single" w:color="auto"/>
          <w:color w:val="0000FF"/>
        </w:rPr>
        <w:t xml:space="preserve"> </w:t>
      </w:r>
      <w:hyperlink r:id="rId147">
        <w:r>
          <w:rPr>
            <w:rFonts w:ascii="Times New Roman" w:cs="Times New Roman" w:eastAsia="Times New Roman" w:hAnsi="Times New Roman"/>
            <w:sz w:val="14"/>
            <w:szCs w:val="14"/>
            <w:u w:val="single" w:color="auto"/>
            <w:color w:val="0000FF"/>
          </w:rPr>
          <w:t>Company’s Quarterly Report on Form 10-Q filed with the SEC on May 15,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635</wp:posOffset>
            </wp:positionV>
            <wp:extent cx="7161530" cy="2355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61530" cy="235585"/>
                    </a:xfrm>
                    <a:prstGeom prst="rect">
                      <a:avLst/>
                    </a:prstGeom>
                    <a:noFill/>
                  </pic:spPr>
                </pic:pic>
              </a:graphicData>
            </a:graphic>
          </wp:anchor>
        </w:drawing>
      </w:r>
    </w:p>
    <w:p>
      <w:pPr>
        <w:spacing w:after="0" w:line="271" w:lineRule="auto"/>
        <w:rPr>
          <w:rFonts w:ascii="Times New Roman" w:cs="Times New Roman" w:eastAsia="Times New Roman" w:hAnsi="Times New Roman"/>
          <w:sz w:val="14"/>
          <w:szCs w:val="14"/>
          <w:u w:val="single" w:color="auto"/>
          <w:color w:val="0000EE"/>
        </w:rPr>
      </w:pPr>
      <w:hyperlink r:id="rId149">
        <w:r>
          <w:rPr>
            <w:rFonts w:ascii="Times New Roman" w:cs="Times New Roman" w:eastAsia="Times New Roman" w:hAnsi="Times New Roman"/>
            <w:sz w:val="14"/>
            <w:szCs w:val="14"/>
            <w:u w:val="single" w:color="auto"/>
            <w:color w:val="0000EE"/>
          </w:rPr>
          <w:t>Strategic Customer Agreement, dated as of December 31, 2021, by and between Ouster, Inc. and the Company (incorporated by reference to Exhibit 10.15 to the Current</w:t>
        </w:r>
      </w:hyperlink>
      <w:r>
        <w:rPr>
          <w:rFonts w:ascii="Times New Roman" w:cs="Times New Roman" w:eastAsia="Times New Roman" w:hAnsi="Times New Roman"/>
          <w:sz w:val="14"/>
          <w:szCs w:val="14"/>
          <w:u w:val="single" w:color="auto"/>
          <w:color w:val="0000EE"/>
        </w:rPr>
        <w:t xml:space="preserve"> </w:t>
      </w:r>
      <w:hyperlink r:id="rId149">
        <w:r>
          <w:rPr>
            <w:rFonts w:ascii="Times New Roman" w:cs="Times New Roman" w:eastAsia="Times New Roman" w:hAnsi="Times New Roman"/>
            <w:sz w:val="14"/>
            <w:szCs w:val="14"/>
            <w:u w:val="single" w:color="auto"/>
            <w:color w:val="0000EE"/>
          </w:rPr>
          <w:t>Report on Form 8-K filed with the SEC on August 4, 2023).</w:t>
        </w:r>
      </w:hyperlink>
    </w:p>
    <w:p>
      <w:pPr>
        <w:spacing w:after="0" w:line="8"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50">
        <w:r>
          <w:rPr>
            <w:rFonts w:ascii="Times New Roman" w:cs="Times New Roman" w:eastAsia="Times New Roman" w:hAnsi="Times New Roman"/>
            <w:sz w:val="14"/>
            <w:szCs w:val="14"/>
            <w:u w:val="single" w:color="auto"/>
            <w:color w:val="0000FF"/>
          </w:rPr>
          <w:t>First Amendment to the Strategic Customer Agreement, dated as of June 11, 2024, by and between Ouster, Inc. and the Company (incorporated by reference to Exhibit</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10.38 to Amendment No. 1 to the Company’s Registration Statement on Form S-1 filed with the SEC on June 28,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635</wp:posOffset>
            </wp:positionV>
            <wp:extent cx="7161530" cy="2355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61530" cy="235585"/>
                    </a:xfrm>
                    <a:prstGeom prst="rect">
                      <a:avLst/>
                    </a:prstGeom>
                    <a:noFill/>
                  </pic:spPr>
                </pic:pic>
              </a:graphicData>
            </a:graphic>
          </wp:anchor>
        </w:drawing>
      </w:r>
    </w:p>
    <w:p>
      <w:pPr>
        <w:spacing w:after="0" w:line="271" w:lineRule="auto"/>
        <w:rPr>
          <w:rFonts w:ascii="Times New Roman" w:cs="Times New Roman" w:eastAsia="Times New Roman" w:hAnsi="Times New Roman"/>
          <w:sz w:val="14"/>
          <w:szCs w:val="14"/>
          <w:u w:val="single" w:color="auto"/>
          <w:color w:val="0000FF"/>
        </w:rPr>
      </w:pPr>
      <w:hyperlink r:id="rId152">
        <w:r>
          <w:rPr>
            <w:rFonts w:ascii="Times New Roman" w:cs="Times New Roman" w:eastAsia="Times New Roman" w:hAnsi="Times New Roman"/>
            <w:sz w:val="14"/>
            <w:szCs w:val="14"/>
            <w:u w:val="single" w:color="auto"/>
            <w:color w:val="0000FF"/>
          </w:rPr>
          <w:t>Second Amendment to the Strategic Customer Agreement, dated as of June 11, 2024, by and between Ouster, Inc. and the Company (incorporated by reference to</w:t>
        </w:r>
      </w:hyperlink>
      <w:r>
        <w:rPr>
          <w:rFonts w:ascii="Times New Roman" w:cs="Times New Roman" w:eastAsia="Times New Roman" w:hAnsi="Times New Roman"/>
          <w:sz w:val="14"/>
          <w:szCs w:val="14"/>
          <w:u w:val="single" w:color="auto"/>
          <w:color w:val="0000FF"/>
        </w:rPr>
        <w:t xml:space="preserve"> </w:t>
      </w:r>
      <w:hyperlink r:id="rId152">
        <w:r>
          <w:rPr>
            <w:rFonts w:ascii="Times New Roman" w:cs="Times New Roman" w:eastAsia="Times New Roman" w:hAnsi="Times New Roman"/>
            <w:sz w:val="14"/>
            <w:szCs w:val="14"/>
            <w:u w:val="single" w:color="auto"/>
            <w:color w:val="0000FF"/>
          </w:rPr>
          <w:t>Exhibit 10.38 to Amendment No. 1 to the Company’s Registration Statement on Form S-1 filed with the SEC on June 28, 2024).</w:t>
        </w:r>
      </w:hyperlink>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53">
        <w:r>
          <w:rPr>
            <w:rFonts w:ascii="Times New Roman" w:cs="Times New Roman" w:eastAsia="Times New Roman" w:hAnsi="Times New Roman"/>
            <w:sz w:val="14"/>
            <w:szCs w:val="14"/>
            <w:u w:val="single" w:color="auto"/>
            <w:color w:val="0000EE"/>
          </w:rPr>
          <w:t>Form of Pre-Merger Indemnification Agreement (incorporated by reference to Exhibit 10.21 to the Current Report on Form 8-K filed with the SEC on August 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21590</wp:posOffset>
            </wp:positionV>
            <wp:extent cx="7161530" cy="2355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61530" cy="235585"/>
                    </a:xfrm>
                    <a:prstGeom prst="rect">
                      <a:avLst/>
                    </a:prstGeom>
                    <a:noFill/>
                  </pic:spPr>
                </pic:pic>
              </a:graphicData>
            </a:graphic>
          </wp:anchor>
        </w:drawing>
      </w:r>
    </w:p>
    <w:p>
      <w:pPr>
        <w:spacing w:after="0" w:line="21"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EE"/>
        </w:rPr>
      </w:pPr>
      <w:hyperlink r:id="rId155">
        <w:r>
          <w:rPr>
            <w:rFonts w:ascii="Times New Roman" w:cs="Times New Roman" w:eastAsia="Times New Roman" w:hAnsi="Times New Roman"/>
            <w:sz w:val="14"/>
            <w:szCs w:val="14"/>
            <w:u w:val="single" w:color="auto"/>
            <w:color w:val="0000EE"/>
          </w:rPr>
          <w:t>Subscription Agreement, dated July 31, 2023, by and between the Company and the parties thereto (incorporated by reference to Exhibit 10.22 to the Current Report on</w:t>
        </w:r>
      </w:hyperlink>
      <w:r>
        <w:rPr>
          <w:rFonts w:ascii="Times New Roman" w:cs="Times New Roman" w:eastAsia="Times New Roman" w:hAnsi="Times New Roman"/>
          <w:sz w:val="14"/>
          <w:szCs w:val="14"/>
          <w:u w:val="single" w:color="auto"/>
          <w:color w:val="0000EE"/>
        </w:rPr>
        <w:t xml:space="preserve"> </w:t>
      </w:r>
      <w:hyperlink r:id="rId155">
        <w:r>
          <w:rPr>
            <w:rFonts w:ascii="Times New Roman" w:cs="Times New Roman" w:eastAsia="Times New Roman" w:hAnsi="Times New Roman"/>
            <w:sz w:val="14"/>
            <w:szCs w:val="14"/>
            <w:u w:val="single" w:color="auto"/>
            <w:color w:val="0000EE"/>
          </w:rPr>
          <w:t>Form 8-K filed with the SEC on August 4, 2023).</w:t>
        </w:r>
      </w:hyperlink>
    </w:p>
    <w:p>
      <w:pPr>
        <w:spacing w:after="0" w:line="8"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EE"/>
        </w:rPr>
      </w:pPr>
      <w:hyperlink r:id="rId156">
        <w:r>
          <w:rPr>
            <w:rFonts w:ascii="Times New Roman" w:cs="Times New Roman" w:eastAsia="Times New Roman" w:hAnsi="Times New Roman"/>
            <w:sz w:val="14"/>
            <w:szCs w:val="14"/>
            <w:u w:val="single" w:color="auto"/>
            <w:color w:val="0000EE"/>
          </w:rPr>
          <w:t>Form of Registration Rights Agreement, by and between the Company and the parties thereto (incorporated by reference to Exhibit 10.23 to the Current Report on Form</w:t>
        </w:r>
      </w:hyperlink>
      <w:r>
        <w:rPr>
          <w:rFonts w:ascii="Times New Roman" w:cs="Times New Roman" w:eastAsia="Times New Roman" w:hAnsi="Times New Roman"/>
          <w:sz w:val="14"/>
          <w:szCs w:val="14"/>
          <w:u w:val="single" w:color="auto"/>
          <w:color w:val="0000EE"/>
        </w:rPr>
        <w:t xml:space="preserve"> </w:t>
      </w:r>
      <w:hyperlink r:id="rId156">
        <w:r>
          <w:rPr>
            <w:rFonts w:ascii="Times New Roman" w:cs="Times New Roman" w:eastAsia="Times New Roman" w:hAnsi="Times New Roman"/>
            <w:sz w:val="14"/>
            <w:szCs w:val="14"/>
            <w:u w:val="single" w:color="auto"/>
            <w:color w:val="0000EE"/>
          </w:rPr>
          <w:t>8-K filed with the SEC on August 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635</wp:posOffset>
            </wp:positionV>
            <wp:extent cx="7161530" cy="128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rPr>
          <w:rFonts w:ascii="Times New Roman" w:cs="Times New Roman" w:eastAsia="Times New Roman" w:hAnsi="Times New Roman"/>
          <w:sz w:val="14"/>
          <w:szCs w:val="14"/>
          <w:u w:val="single" w:color="auto"/>
          <w:color w:val="0000EE"/>
        </w:rPr>
      </w:pPr>
      <w:hyperlink r:id="rId158">
        <w:r>
          <w:rPr>
            <w:rFonts w:ascii="Times New Roman" w:cs="Times New Roman" w:eastAsia="Times New Roman" w:hAnsi="Times New Roman"/>
            <w:sz w:val="14"/>
            <w:szCs w:val="14"/>
            <w:u w:val="single" w:color="auto"/>
            <w:color w:val="0000EE"/>
          </w:rPr>
          <w:t>2021 Stock Plan and form of award agreements (incorporated by reference to Exhibit 10.24 to the Current Report on Form 8-K filed with the SEC on August 4, 2023).</w:t>
        </w:r>
      </w:hyperlink>
    </w:p>
    <w:p>
      <w:pPr>
        <w:spacing w:after="0" w:line="41"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59">
        <w:r>
          <w:rPr>
            <w:rFonts w:ascii="Times New Roman" w:cs="Times New Roman" w:eastAsia="Times New Roman" w:hAnsi="Times New Roman"/>
            <w:sz w:val="14"/>
            <w:szCs w:val="14"/>
            <w:u w:val="single" w:color="auto"/>
            <w:color w:val="0000FF"/>
          </w:rPr>
          <w:t>2023 Equity Incentive Plan and form of award agreements (incorporated by reference to Exhibit 10.29 to the Company's report on Form 10-K filed with the SEC on</w:t>
        </w:r>
      </w:hyperlink>
      <w:r>
        <w:rPr>
          <w:rFonts w:ascii="Times New Roman" w:cs="Times New Roman" w:eastAsia="Times New Roman" w:hAnsi="Times New Roman"/>
          <w:sz w:val="14"/>
          <w:szCs w:val="14"/>
          <w:u w:val="single" w:color="auto"/>
          <w:color w:val="0000FF"/>
        </w:rPr>
        <w:t xml:space="preserve"> </w:t>
      </w:r>
      <w:hyperlink r:id="rId159">
        <w:r>
          <w:rPr>
            <w:rFonts w:ascii="Times New Roman" w:cs="Times New Roman" w:eastAsia="Times New Roman" w:hAnsi="Times New Roman"/>
            <w:sz w:val="14"/>
            <w:szCs w:val="14"/>
            <w:u w:val="single" w:color="auto"/>
            <w:color w:val="0000FF"/>
          </w:rPr>
          <w:t>February 29,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635</wp:posOffset>
            </wp:positionV>
            <wp:extent cx="7161530" cy="1282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rPr>
          <w:rFonts w:ascii="Times New Roman" w:cs="Times New Roman" w:eastAsia="Times New Roman" w:hAnsi="Times New Roman"/>
          <w:sz w:val="14"/>
          <w:szCs w:val="14"/>
          <w:u w:val="single" w:color="auto"/>
          <w:color w:val="0000FF"/>
        </w:rPr>
      </w:pPr>
      <w:hyperlink r:id="rId161">
        <w:r>
          <w:rPr>
            <w:rFonts w:ascii="Times New Roman" w:cs="Times New Roman" w:eastAsia="Times New Roman" w:hAnsi="Times New Roman"/>
            <w:sz w:val="14"/>
            <w:szCs w:val="14"/>
            <w:u w:val="single" w:color="auto"/>
            <w:color w:val="0000FF"/>
          </w:rPr>
          <w:t>Amendment to Serve Robotics Inc.'s 2023 Equity Incentive Plan (incorporated by reference to the Company's Form DEF14A filed with the SEC on June 7, 2024)</w:t>
        </w:r>
      </w:hyperlink>
    </w:p>
    <w:p>
      <w:pPr>
        <w:spacing w:after="0" w:line="41"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62">
        <w:r>
          <w:rPr>
            <w:rFonts w:ascii="Times New Roman" w:cs="Times New Roman" w:eastAsia="Times New Roman" w:hAnsi="Times New Roman"/>
            <w:sz w:val="14"/>
            <w:szCs w:val="14"/>
            <w:u w:val="single" w:color="auto"/>
            <w:color w:val="0000EE"/>
          </w:rPr>
          <w:t>Master Services Agreement, dated as of February 1, 2024 and effective as of January 15, 2024, by and between Magna New Mobility USA, Inc. and Serve Operating Co.</w:t>
        </w:r>
      </w:hyperlink>
    </w:p>
    <w:p>
      <w:pPr>
        <w:spacing w:after="0" w:line="14"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62">
        <w:r>
          <w:rPr>
            <w:rFonts w:ascii="Times New Roman" w:cs="Times New Roman" w:eastAsia="Times New Roman" w:hAnsi="Times New Roman"/>
            <w:sz w:val="14"/>
            <w:szCs w:val="14"/>
            <w:u w:val="single" w:color="auto"/>
            <w:color w:val="0000EE"/>
          </w:rPr>
          <w:t>(incorporated by reference to Exhibit 10.1 to the Current Report on Form 8-K filed with the SEC on February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18415</wp:posOffset>
            </wp:positionV>
            <wp:extent cx="7161530" cy="2355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61530" cy="235585"/>
                    </a:xfrm>
                    <a:prstGeom prst="rect">
                      <a:avLst/>
                    </a:prstGeom>
                    <a:noFill/>
                  </pic:spPr>
                </pic:pic>
              </a:graphicData>
            </a:graphic>
          </wp:anchor>
        </w:drawing>
      </w:r>
    </w:p>
    <w:p>
      <w:pPr>
        <w:spacing w:after="0" w:line="15"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64">
        <w:r>
          <w:rPr>
            <w:rFonts w:ascii="Times New Roman" w:cs="Times New Roman" w:eastAsia="Times New Roman" w:hAnsi="Times New Roman"/>
            <w:sz w:val="14"/>
            <w:szCs w:val="14"/>
            <w:u w:val="single" w:color="auto"/>
            <w:color w:val="0000EE"/>
          </w:rPr>
          <w:t>Statement of Work, dated as of February 1, 2024 and effective as of January 15, 2024, by and between Magna New Mobility USA, Inc. and Serve Operating Co.</w:t>
        </w:r>
      </w:hyperlink>
    </w:p>
    <w:p>
      <w:pPr>
        <w:spacing w:after="0" w:line="14"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r:id="rId164">
        <w:r>
          <w:rPr>
            <w:rFonts w:ascii="Times New Roman" w:cs="Times New Roman" w:eastAsia="Times New Roman" w:hAnsi="Times New Roman"/>
            <w:sz w:val="14"/>
            <w:szCs w:val="14"/>
            <w:u w:val="single" w:color="auto"/>
            <w:color w:val="0000EE"/>
          </w:rPr>
          <w:t>(incorporated by reference to Exhibit 10.2 to the Current Report on Form 8-K filed with the SEC on February 7, 2024).</w:t>
        </w:r>
      </w:hyperlink>
    </w:p>
    <w:p>
      <w:pPr>
        <w:spacing w:after="0" w:line="35"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FF"/>
        </w:rPr>
      </w:pPr>
      <w:hyperlink r:id="rId165">
        <w:r>
          <w:rPr>
            <w:rFonts w:ascii="Times New Roman" w:cs="Times New Roman" w:eastAsia="Times New Roman" w:hAnsi="Times New Roman"/>
            <w:sz w:val="14"/>
            <w:szCs w:val="14"/>
            <w:u w:val="single" w:color="auto"/>
            <w:color w:val="0000FF"/>
          </w:rPr>
          <w:t>License and Services Agreement, dated as of February 20, 2024, by and between Magna New Mobility USA, Inc. and Serve Operating Co. (incorporated by reference to</w:t>
        </w:r>
      </w:hyperlink>
      <w:r>
        <w:rPr>
          <w:rFonts w:ascii="Times New Roman" w:cs="Times New Roman" w:eastAsia="Times New Roman" w:hAnsi="Times New Roman"/>
          <w:sz w:val="14"/>
          <w:szCs w:val="14"/>
          <w:u w:val="single" w:color="auto"/>
          <w:color w:val="0000FF"/>
        </w:rPr>
        <w:t xml:space="preserve"> </w:t>
      </w:r>
      <w:hyperlink r:id="rId165">
        <w:r>
          <w:rPr>
            <w:rFonts w:ascii="Times New Roman" w:cs="Times New Roman" w:eastAsia="Times New Roman" w:hAnsi="Times New Roman"/>
            <w:sz w:val="14"/>
            <w:szCs w:val="14"/>
            <w:u w:val="single" w:color="auto"/>
            <w:color w:val="0000FF"/>
          </w:rPr>
          <w:t>Exhibit 10.1 to the Current Report on Form 8-K filed with the SEC on February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635</wp:posOffset>
            </wp:positionV>
            <wp:extent cx="716153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0000FF"/>
        </w:rPr>
        <w:t>Serve Robotics Inc. Amended and Restated Outside Director Compensation Policy.</w:t>
      </w:r>
    </w:p>
    <w:p>
      <w:pPr>
        <w:spacing w:after="0" w:line="4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7">
        <w:r>
          <w:rPr>
            <w:rFonts w:ascii="Times New Roman" w:cs="Times New Roman" w:eastAsia="Times New Roman" w:hAnsi="Times New Roman"/>
            <w:sz w:val="14"/>
            <w:szCs w:val="14"/>
            <w:u w:val="single" w:color="auto"/>
            <w:color w:val="0000FF"/>
          </w:rPr>
          <w:t>Form of July Registration Rights Agreement (incorporated by reference to Exhibit 10.3 to the Current Report on Form 8-K filed with the SEC on July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21590</wp:posOffset>
            </wp:positionV>
            <wp:extent cx="7161530" cy="128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9">
        <w:r>
          <w:rPr>
            <w:rFonts w:ascii="Times New Roman" w:cs="Times New Roman" w:eastAsia="Times New Roman" w:hAnsi="Times New Roman"/>
            <w:sz w:val="14"/>
            <w:szCs w:val="14"/>
            <w:u w:val="single" w:color="auto"/>
            <w:color w:val="0000FF"/>
          </w:rPr>
          <w:t>Form of July Securities Purchase Agreement (incorporated by reference to Exhibit 10.1 to the Current Report on Form 8-K filed with the SEC on July 23, 2024).</w:t>
        </w:r>
      </w:hyperlink>
    </w:p>
    <w:p>
      <w:pPr>
        <w:spacing w:after="0" w:line="4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0">
        <w:r>
          <w:rPr>
            <w:rFonts w:ascii="Times New Roman" w:cs="Times New Roman" w:eastAsia="Times New Roman" w:hAnsi="Times New Roman"/>
            <w:sz w:val="14"/>
            <w:szCs w:val="14"/>
            <w:u w:val="single" w:color="auto"/>
            <w:color w:val="0000FF"/>
          </w:rPr>
          <w:t>Form of August Registration Rights Agreement (incorporated by reference to Exhibit 10.2 to the Current Report on Form 8-K filed with the SEC on August 28,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21590</wp:posOffset>
            </wp:positionV>
            <wp:extent cx="7161530"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2">
        <w:r>
          <w:rPr>
            <w:rFonts w:ascii="Times New Roman" w:cs="Times New Roman" w:eastAsia="Times New Roman" w:hAnsi="Times New Roman"/>
            <w:sz w:val="14"/>
            <w:szCs w:val="14"/>
            <w:u w:val="single" w:color="auto"/>
            <w:color w:val="0000FF"/>
          </w:rPr>
          <w:t>Form of August Securities Purchase Agreement (incorporated by reference to Exhibit 10.1 to the Current Report on Form 8-K filed with the SEC on August 28, 2024).</w:t>
        </w:r>
      </w:hyperlink>
    </w:p>
    <w:p>
      <w:pPr>
        <w:spacing w:after="0" w:line="41" w:lineRule="exact"/>
        <w:rPr>
          <w:sz w:val="20"/>
          <w:szCs w:val="20"/>
          <w:color w:val="auto"/>
        </w:rPr>
      </w:pPr>
    </w:p>
    <w:p>
      <w:pPr>
        <w:spacing w:after="0" w:line="271" w:lineRule="auto"/>
        <w:rPr>
          <w:rFonts w:ascii="Times New Roman" w:cs="Times New Roman" w:eastAsia="Times New Roman" w:hAnsi="Times New Roman"/>
          <w:sz w:val="14"/>
          <w:szCs w:val="14"/>
          <w:u w:val="single" w:color="auto"/>
          <w:color w:val="0000EE"/>
        </w:rPr>
      </w:pPr>
      <w:hyperlink r:id="rId173">
        <w:r>
          <w:rPr>
            <w:rFonts w:ascii="Times New Roman" w:cs="Times New Roman" w:eastAsia="Times New Roman" w:hAnsi="Times New Roman"/>
            <w:sz w:val="14"/>
            <w:szCs w:val="14"/>
            <w:u w:val="single" w:color="auto"/>
            <w:color w:val="0000EE"/>
          </w:rPr>
          <w:t>Letter from Grassi &amp; Co., CPAs, P.C. as to the change in certifying accountant, dated August 4, 2023 (incorporated by reference to Exhibit 16.1 to the Current Report on</w:t>
        </w:r>
      </w:hyperlink>
      <w:r>
        <w:rPr>
          <w:rFonts w:ascii="Times New Roman" w:cs="Times New Roman" w:eastAsia="Times New Roman" w:hAnsi="Times New Roman"/>
          <w:sz w:val="14"/>
          <w:szCs w:val="14"/>
          <w:u w:val="single" w:color="auto"/>
          <w:color w:val="0000EE"/>
        </w:rPr>
        <w:t xml:space="preserve"> </w:t>
      </w:r>
      <w:hyperlink r:id="rId173">
        <w:r>
          <w:rPr>
            <w:rFonts w:ascii="Times New Roman" w:cs="Times New Roman" w:eastAsia="Times New Roman" w:hAnsi="Times New Roman"/>
            <w:sz w:val="14"/>
            <w:szCs w:val="14"/>
            <w:u w:val="single" w:color="auto"/>
            <w:color w:val="0000EE"/>
          </w:rPr>
          <w:t>Form 8-K filed with the SEC on August 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635</wp:posOffset>
            </wp:positionV>
            <wp:extent cx="7161530"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0000FF"/>
        </w:rPr>
        <w:t>Serve Robotics Inc. Insider Trading Policy</w:t>
      </w:r>
    </w:p>
    <w:p>
      <w:pPr>
        <w:spacing w:after="0" w:line="200" w:lineRule="exact"/>
        <w:rPr>
          <w:sz w:val="20"/>
          <w:szCs w:val="20"/>
          <w:color w:val="auto"/>
        </w:rPr>
      </w:pPr>
    </w:p>
    <w:p>
      <w:pPr>
        <w:spacing w:after="0" w:line="3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00" w:space="580"/>
            <w:col w:w="9600"/>
          </w:cols>
          <w:pgMar w:left="300" w:top="125" w:right="4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845"/>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58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r>
      <w:tr>
        <w:trPr>
          <w:trHeight w:val="188"/>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5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top w:val="single" w:sz="8" w:color="0000FF"/>
              <w:bottom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Consent of dbbmckennon</w:t>
            </w: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5"/>
            <w:shd w:val="clear" w:color="auto" w:fill="CCEEFF"/>
          </w:tcPr>
          <w:p>
            <w:pPr>
              <w:spacing w:after="0"/>
              <w:rPr>
                <w:sz w:val="16"/>
                <w:szCs w:val="16"/>
                <w:color w:val="auto"/>
              </w:rPr>
            </w:pPr>
          </w:p>
        </w:tc>
      </w:tr>
      <w:tr>
        <w:trPr>
          <w:trHeight w:val="159"/>
        </w:trPr>
        <w:tc>
          <w:tcPr>
            <w:tcW w:w="10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580" w:type="dxa"/>
            <w:vAlign w:val="bottom"/>
          </w:tcPr>
          <w:p>
            <w:pPr>
              <w:spacing w:after="0"/>
              <w:rPr>
                <w:sz w:val="13"/>
                <w:szCs w:val="13"/>
                <w:color w:val="auto"/>
              </w:rPr>
            </w:pPr>
          </w:p>
        </w:tc>
        <w:tc>
          <w:tcPr>
            <w:tcW w:w="970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color w:val="0000EE"/>
              </w:rPr>
              <w:t>Certification of Principal Executive Officer, pursuant to Section 302 of the Sarbanes-Oxley Act of 2002</w:t>
            </w:r>
          </w:p>
        </w:tc>
      </w:tr>
      <w:tr>
        <w:trPr>
          <w:trHeight w:val="22"/>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10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31.2*</w:t>
            </w:r>
          </w:p>
        </w:tc>
        <w:tc>
          <w:tcPr>
            <w:tcW w:w="580" w:type="dxa"/>
            <w:vAlign w:val="bottom"/>
            <w:shd w:val="clear" w:color="auto" w:fill="CCEEFF"/>
          </w:tcPr>
          <w:p>
            <w:pPr>
              <w:spacing w:after="0"/>
              <w:rPr>
                <w:sz w:val="13"/>
                <w:szCs w:val="13"/>
                <w:color w:val="auto"/>
              </w:rPr>
            </w:pPr>
          </w:p>
        </w:tc>
        <w:tc>
          <w:tcPr>
            <w:tcW w:w="5860" w:type="dxa"/>
            <w:vAlign w:val="bottom"/>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shd w:val="clear" w:color="auto" w:fill="CCEEFF"/>
              </w:rPr>
              <w:t>Certification of Principal Financial Officer, pursuant to Section 302 of the Sarbanes-Oxley Act of 2002</w:t>
            </w:r>
          </w:p>
        </w:tc>
        <w:tc>
          <w:tcPr>
            <w:tcW w:w="3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2"/>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70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color w:val="0000EE"/>
              </w:rPr>
              <w:t>Certification of Principal Executive Officer, pursuant to Section 906 of the Sarbanes-Oxley Act of 2002 (Subsections (a) and (b) of Section 1350, Chapter 63 of Title 18,</w:t>
            </w:r>
          </w:p>
        </w:tc>
      </w:tr>
      <w:tr>
        <w:trPr>
          <w:trHeight w:val="139"/>
        </w:trPr>
        <w:tc>
          <w:tcPr>
            <w:tcW w:w="10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32.1**</w:t>
            </w:r>
          </w:p>
        </w:tc>
        <w:tc>
          <w:tcPr>
            <w:tcW w:w="580" w:type="dxa"/>
            <w:vAlign w:val="bottom"/>
          </w:tcPr>
          <w:p>
            <w:pPr>
              <w:spacing w:after="0"/>
              <w:rPr>
                <w:sz w:val="12"/>
                <w:szCs w:val="12"/>
                <w:color w:val="auto"/>
              </w:rPr>
            </w:pPr>
          </w:p>
        </w:tc>
        <w:tc>
          <w:tcPr>
            <w:tcW w:w="9600" w:type="dxa"/>
            <w:vAlign w:val="bottom"/>
            <w:tcBorders>
              <w:top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EE"/>
              </w:rPr>
              <w:t>United States Code)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9"/>
        </w:trPr>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620" w:type="dxa"/>
            <w:vAlign w:val="bottom"/>
            <w:tcBorders>
              <w:bottom w:val="single" w:sz="8" w:color="0000EE"/>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shd w:val="clear" w:color="auto" w:fill="CCEEFF"/>
              </w:rPr>
              <w:t>Certification of Principal Financial Officer, pursuant to Section 906 of the Sarbanes-Oxley Act of 2002 (Subsections (a) and (b) of Section 1350, Chapter 63 of Title 18,</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77"/>
        </w:trPr>
        <w:tc>
          <w:tcPr>
            <w:tcW w:w="100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32.2**</w:t>
            </w:r>
          </w:p>
        </w:tc>
        <w:tc>
          <w:tcPr>
            <w:tcW w:w="5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0000EE"/>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EE"/>
                <w:w w:val="99"/>
                <w:shd w:val="clear" w:color="auto" w:fill="CCEEFF"/>
              </w:rPr>
              <w:t>United States Code)</w:t>
            </w:r>
          </w:p>
        </w:tc>
        <w:tc>
          <w:tcPr>
            <w:tcW w:w="8460" w:type="dxa"/>
            <w:vAlign w:val="bottom"/>
            <w:tcBorders>
              <w:bottom w:val="single" w:sz="8" w:color="CCEEFF"/>
            </w:tcBorders>
            <w:gridSpan w:val="5"/>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r>
      <w:tr>
        <w:trPr>
          <w:trHeight w:val="159"/>
        </w:trPr>
        <w:tc>
          <w:tcPr>
            <w:tcW w:w="10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9700" w:type="dxa"/>
            <w:vAlign w:val="bottom"/>
            <w:tcBorders>
              <w:top w:val="single" w:sz="8" w:color="CCEEFF"/>
            </w:tcBorders>
            <w:gridSpan w:val="9"/>
          </w:tcPr>
          <w:p>
            <w:pPr>
              <w:spacing w:after="0" w:line="15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Serve Robotics Inc. Compensation Recovery Policy (incorporated by reference to Exhibit 97.1 to the Annual Report on Form 10-K filed with the SEC on February 29,</w:t>
              </w:r>
            </w:hyperlink>
          </w:p>
        </w:tc>
      </w:tr>
      <w:tr>
        <w:trPr>
          <w:trHeight w:val="139"/>
        </w:trPr>
        <w:tc>
          <w:tcPr>
            <w:tcW w:w="10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97.1</w:t>
            </w:r>
          </w:p>
        </w:tc>
        <w:tc>
          <w:tcPr>
            <w:tcW w:w="580" w:type="dxa"/>
            <w:vAlign w:val="bottom"/>
          </w:tcPr>
          <w:p>
            <w:pPr>
              <w:spacing w:after="0"/>
              <w:rPr>
                <w:sz w:val="12"/>
                <w:szCs w:val="12"/>
                <w:color w:val="auto"/>
              </w:rPr>
            </w:pPr>
          </w:p>
        </w:tc>
        <w:tc>
          <w:tcPr>
            <w:tcW w:w="114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2024)</w:t>
              </w:r>
            </w:hyperlink>
          </w:p>
        </w:tc>
        <w:tc>
          <w:tcPr>
            <w:tcW w:w="3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7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97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19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97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7"/>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97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9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97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07"/>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97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9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97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80" w:type="dxa"/>
            <w:vAlign w:val="bottom"/>
            <w:shd w:val="clear" w:color="auto" w:fill="CCEEFF"/>
          </w:tcPr>
          <w:p>
            <w:pPr>
              <w:spacing w:after="0"/>
              <w:rPr>
                <w:sz w:val="18"/>
                <w:szCs w:val="18"/>
                <w:color w:val="auto"/>
              </w:rPr>
            </w:pPr>
          </w:p>
        </w:tc>
        <w:tc>
          <w:tcPr>
            <w:tcW w:w="97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198" w:lineRule="exact"/>
        <w:rPr>
          <w:sz w:val="20"/>
          <w:szCs w:val="20"/>
          <w:color w:val="auto"/>
        </w:rPr>
      </w:pPr>
    </w:p>
    <w:p>
      <w:pPr>
        <w:ind w:left="260" w:hanging="255"/>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47" w:lineRule="exact"/>
        <w:rPr>
          <w:sz w:val="20"/>
          <w:szCs w:val="20"/>
          <w:color w:val="auto"/>
        </w:rPr>
      </w:pPr>
    </w:p>
    <w:p>
      <w:pPr>
        <w:ind w:right="5800" w:firstLine="5"/>
        <w:spacing w:after="0" w:line="466" w:lineRule="auto"/>
        <w:tabs>
          <w:tab w:leader="none" w:pos="24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document is being furnished in accordance with Item 601(b)(32)(ii) of Regulation S-K. + Indicates a management contract or any compensatory plan, contract or arrangement.</w:t>
      </w:r>
    </w:p>
    <w:p>
      <w:pPr>
        <w:spacing w:after="0" w:line="1" w:lineRule="exact"/>
        <w:rPr>
          <w:sz w:val="20"/>
          <w:szCs w:val="20"/>
          <w:color w:val="auto"/>
        </w:rPr>
      </w:pPr>
    </w:p>
    <w:p>
      <w:pPr>
        <w:ind w:left="260" w:hanging="255"/>
        <w:spacing w:after="0" w:line="287" w:lineRule="auto"/>
        <w:tabs>
          <w:tab w:leader="none" w:pos="27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in accordance with Item 601(b)(10) of Regulation S-K. The registrant has furnished supplementally copies of the omitted portions of this exhibit to the SEC upon its request.</w:t>
      </w:r>
    </w:p>
    <w:p>
      <w:pPr>
        <w:spacing w:after="0" w:line="92" w:lineRule="exact"/>
        <w:rPr>
          <w:sz w:val="20"/>
          <w:szCs w:val="20"/>
          <w:color w:val="auto"/>
        </w:rPr>
      </w:pPr>
    </w:p>
    <w:p>
      <w:pPr>
        <w:ind w:left="260" w:hanging="255"/>
        <w:spacing w:after="0" w:line="287" w:lineRule="auto"/>
        <w:tabs>
          <w:tab w:leader="none" w:pos="22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or schedules to this exhibit have been omitted in accordance with Item 601(a)(5) of Regulation S-K. The registrant hereby agrees to furnish supplementally a copy of any omitted exhibit or schedule to the SEC upon its request.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746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SERVE ROBOTICS INC.</w:t>
            </w:r>
          </w:p>
        </w:tc>
      </w:tr>
      <w:tr>
        <w:trPr>
          <w:trHeight w:val="426"/>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Dated: March 6, 2025</w:t>
            </w:r>
          </w:p>
        </w:tc>
        <w:tc>
          <w:tcPr>
            <w:tcW w:w="7460" w:type="dxa"/>
            <w:vAlign w:val="bottom"/>
            <w:gridSpan w:val="2"/>
          </w:tcPr>
          <w:p>
            <w:pPr>
              <w:ind w:left="2580"/>
              <w:spacing w:after="0"/>
              <w:rPr>
                <w:sz w:val="20"/>
                <w:szCs w:val="20"/>
                <w:color w:val="auto"/>
              </w:rPr>
            </w:pPr>
            <w:r>
              <w:rPr>
                <w:rFonts w:ascii="Times New Roman" w:cs="Times New Roman" w:eastAsia="Times New Roman" w:hAnsi="Times New Roman"/>
                <w:sz w:val="14"/>
                <w:szCs w:val="14"/>
                <w:color w:val="auto"/>
                <w:w w:val="99"/>
              </w:rPr>
              <w:t>By:/s/ Ali Kashani</w:t>
            </w:r>
          </w:p>
        </w:tc>
      </w:tr>
      <w:tr>
        <w:trPr>
          <w:trHeight w:val="191"/>
        </w:trPr>
        <w:tc>
          <w:tcPr>
            <w:tcW w:w="38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02"/>
        </w:trPr>
        <w:tc>
          <w:tcPr>
            <w:tcW w:w="38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Annual Report on Form 10-K has been signed by the following persons in the capacities indicated on the date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7"/>
                <w:szCs w:val="17"/>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 w:type="dxa"/>
            <w:vAlign w:val="bottom"/>
          </w:tcPr>
          <w:p>
            <w:pPr>
              <w:spacing w:after="0"/>
              <w:rPr>
                <w:sz w:val="17"/>
                <w:szCs w:val="17"/>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6"/>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Ali Kashani</w:t>
            </w:r>
          </w:p>
        </w:tc>
        <w:tc>
          <w:tcPr>
            <w:tcW w:w="10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Chief Executive Officer, and Chairman of the Board of Directors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6, 2025</w:t>
            </w:r>
          </w:p>
        </w:tc>
        <w:tc>
          <w:tcPr>
            <w:tcW w:w="0" w:type="dxa"/>
            <w:vAlign w:val="bottom"/>
          </w:tcPr>
          <w:p>
            <w:pPr>
              <w:spacing w:after="0"/>
              <w:rPr>
                <w:sz w:val="1"/>
                <w:szCs w:val="1"/>
                <w:color w:val="auto"/>
              </w:rPr>
            </w:pPr>
          </w:p>
        </w:tc>
      </w:tr>
      <w:tr>
        <w:trPr>
          <w:trHeight w:val="193"/>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 Kashani</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Brian Read</w:t>
            </w:r>
          </w:p>
        </w:tc>
        <w:tc>
          <w:tcPr>
            <w:tcW w:w="10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6, 2025</w:t>
            </w:r>
          </w:p>
        </w:tc>
        <w:tc>
          <w:tcPr>
            <w:tcW w:w="0" w:type="dxa"/>
            <w:vAlign w:val="bottom"/>
          </w:tcPr>
          <w:p>
            <w:pPr>
              <w:spacing w:after="0"/>
              <w:rPr>
                <w:sz w:val="1"/>
                <w:szCs w:val="1"/>
                <w:color w:val="auto"/>
              </w:rPr>
            </w:pPr>
          </w:p>
        </w:tc>
      </w:tr>
      <w:tr>
        <w:trPr>
          <w:trHeight w:val="193"/>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Read</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Touraj Parang</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President and Chief Operating Officer and 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6, 2025</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Touraj Parang</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David Goldberg</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6, 2025</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Goldberg</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Sarfraz Maredia</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6, 2025</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Sarfraz Maredia</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Lily Sarafan</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6, 2025</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Lily Sarafan</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Olivier Vincent</w:t>
            </w:r>
          </w:p>
        </w:tc>
        <w:tc>
          <w:tcPr>
            <w:tcW w:w="10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6, 2025</w:t>
            </w: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Olivier Vincent</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2"/>
        </w:trPr>
        <w:tc>
          <w:tcPr>
            <w:tcW w:w="3180" w:type="dxa"/>
            <w:vAlign w:val="bottom"/>
          </w:tcPr>
          <w:p>
            <w:pPr>
              <w:spacing w:after="0"/>
              <w:rPr>
                <w:sz w:val="24"/>
                <w:szCs w:val="24"/>
                <w:color w:val="auto"/>
              </w:rPr>
            </w:pPr>
          </w:p>
        </w:tc>
        <w:tc>
          <w:tcPr>
            <w:tcW w:w="5280" w:type="dxa"/>
            <w:vAlign w:val="bottom"/>
            <w:gridSpan w:val="2"/>
          </w:tcPr>
          <w:p>
            <w:pPr>
              <w:jc w:val="right"/>
              <w:ind w:right="2669"/>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 13a-14(a)/15d-14(a) as Adopted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Ali Kashani, certify that:</w:t>
      </w:r>
    </w:p>
    <w:p>
      <w:pPr>
        <w:spacing w:after="0" w:line="157"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Serve Robotics Inc.;</w:t>
      </w:r>
    </w:p>
    <w:p>
      <w:pPr>
        <w:spacing w:after="0" w:line="14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Date: March 6, 2025</w:t>
      </w:r>
      <w:r>
        <w:rPr>
          <w:sz w:val="20"/>
          <w:szCs w:val="20"/>
          <w:color w:val="auto"/>
        </w:rPr>
        <w:tab/>
      </w:r>
      <w:r>
        <w:rPr>
          <w:rFonts w:ascii="Times New Roman" w:cs="Times New Roman" w:eastAsia="Times New Roman" w:hAnsi="Times New Roman"/>
          <w:sz w:val="13"/>
          <w:szCs w:val="13"/>
          <w:color w:val="auto"/>
        </w:rPr>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21590</wp:posOffset>
            </wp:positionV>
            <wp:extent cx="289687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2896870" cy="13335"/>
                    </a:xfrm>
                    <a:prstGeom prst="rect">
                      <a:avLst/>
                    </a:prstGeom>
                    <a:noFill/>
                  </pic:spPr>
                </pic:pic>
              </a:graphicData>
            </a:graphic>
          </wp:anchor>
        </w:drawing>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Ali Kashani</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59"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 13a-14(a)/15d-14(a) as Adopted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Brian Read, certify that:</w:t>
      </w:r>
    </w:p>
    <w:p>
      <w:pPr>
        <w:spacing w:after="0" w:line="147" w:lineRule="exact"/>
        <w:rPr>
          <w:sz w:val="20"/>
          <w:szCs w:val="20"/>
          <w:color w:val="auto"/>
        </w:rPr>
      </w:pPr>
    </w:p>
    <w:p>
      <w:pPr>
        <w:ind w:left="260" w:hanging="255"/>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Serve Robotics Inc.;</w:t>
      </w:r>
    </w:p>
    <w:p>
      <w:pPr>
        <w:spacing w:after="0" w:line="14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Date: March 6, 2025</w:t>
      </w:r>
      <w:r>
        <w:rPr>
          <w:sz w:val="20"/>
          <w:szCs w:val="20"/>
          <w:color w:val="auto"/>
        </w:rPr>
        <w:tab/>
      </w:r>
      <w:r>
        <w:rPr>
          <w:rFonts w:ascii="Times New Roman" w:cs="Times New Roman" w:eastAsia="Times New Roman" w:hAnsi="Times New Roman"/>
          <w:sz w:val="13"/>
          <w:szCs w:val="13"/>
          <w:color w:val="auto"/>
        </w:rPr>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21590</wp:posOffset>
            </wp:positionV>
            <wp:extent cx="289687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2896870" cy="13335"/>
                    </a:xfrm>
                    <a:prstGeom prst="rect">
                      <a:avLst/>
                    </a:prstGeom>
                    <a:noFill/>
                  </pic:spPr>
                </pic:pic>
              </a:graphicData>
            </a:graphic>
          </wp:anchor>
        </w:drawing>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Brian Read</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759"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18 U.S.C. Section 1350 as Adopted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Section 906 of the Sarbanes-Oxley Act of 2002</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Serve Robotics Inc. (the “Company”) on Form 10-K for the year ended December 31, 2024, as filed with the Securities and Exchange Commission (the “Report”), I, Ali Kashani, Chief Executive Officer (Principal Executive Officer) of the Company, hereby certify as of the date hereof, solely for purposes of Title 18, Chapter 63, Section 1350 of the United States Code, that to the best of my knowledge:</w:t>
      </w:r>
    </w:p>
    <w:p>
      <w:pPr>
        <w:spacing w:after="0" w:line="104" w:lineRule="exact"/>
        <w:rPr>
          <w:sz w:val="20"/>
          <w:szCs w:val="20"/>
          <w:color w:val="auto"/>
        </w:rPr>
      </w:pPr>
    </w:p>
    <w:p>
      <w:pPr>
        <w:ind w:left="260" w:hanging="255"/>
        <w:spacing w:after="0"/>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15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at the dates and for the periods indicated.</w:t>
      </w:r>
    </w:p>
    <w:p>
      <w:pPr>
        <w:spacing w:after="0" w:line="189"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Date: March 6, 2025</w:t>
      </w:r>
      <w:r>
        <w:rPr>
          <w:sz w:val="20"/>
          <w:szCs w:val="20"/>
          <w:color w:val="auto"/>
        </w:rPr>
        <w:tab/>
      </w:r>
      <w:r>
        <w:rPr>
          <w:rFonts w:ascii="Times New Roman" w:cs="Times New Roman" w:eastAsia="Times New Roman" w:hAnsi="Times New Roman"/>
          <w:sz w:val="13"/>
          <w:szCs w:val="13"/>
          <w:color w:val="auto"/>
        </w:rPr>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21590</wp:posOffset>
            </wp:positionV>
            <wp:extent cx="289687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2896870" cy="13335"/>
                    </a:xfrm>
                    <a:prstGeom prst="rect">
                      <a:avLst/>
                    </a:prstGeom>
                    <a:noFill/>
                  </pic:spPr>
                </pic:pic>
              </a:graphicData>
            </a:graphic>
          </wp:anchor>
        </w:drawing>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Ali Kashani</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97" w:right="3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18 U.S.C. Section 1350 as Adopted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Section 906 of the Sarbanes-Oxley Act of 2002</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Serve Robotics Inc. (the “Company”) on Form 10-K for the year ended December 31, 2024, as filed with the Securities and Exchange Commission (the “Report”), I, Brian Read, Chief Financial Officer (Principal Financial and Accounting Officer) of the Company, hereby certify as of the date hereof, solely for purposes of Title 18, Chapter 63, Section 1350 of the United States Code, that to the best of my knowledge:</w:t>
      </w:r>
    </w:p>
    <w:p>
      <w:pPr>
        <w:spacing w:after="0" w:line="104" w:lineRule="exact"/>
        <w:rPr>
          <w:sz w:val="20"/>
          <w:szCs w:val="20"/>
          <w:color w:val="auto"/>
        </w:rPr>
      </w:pPr>
    </w:p>
    <w:p>
      <w:pPr>
        <w:ind w:left="260" w:hanging="255"/>
        <w:spacing w:after="0"/>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15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at the dates and for the periods indicated.</w:t>
      </w:r>
    </w:p>
    <w:p>
      <w:pPr>
        <w:spacing w:after="0" w:line="189"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4"/>
          <w:szCs w:val="14"/>
          <w:color w:val="auto"/>
        </w:rPr>
        <w:t>Date: March 6, 2025</w:t>
      </w:r>
      <w:r>
        <w:rPr>
          <w:sz w:val="20"/>
          <w:szCs w:val="20"/>
          <w:color w:val="auto"/>
        </w:rPr>
        <w:tab/>
      </w:r>
      <w:r>
        <w:rPr>
          <w:rFonts w:ascii="Times New Roman" w:cs="Times New Roman" w:eastAsia="Times New Roman" w:hAnsi="Times New Roman"/>
          <w:sz w:val="13"/>
          <w:szCs w:val="13"/>
          <w:color w:val="auto"/>
        </w:rPr>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21590</wp:posOffset>
            </wp:positionV>
            <wp:extent cx="289687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2896870" cy="13335"/>
                    </a:xfrm>
                    <a:prstGeom prst="rect">
                      <a:avLst/>
                    </a:prstGeom>
                    <a:noFill/>
                  </pic:spPr>
                </pic:pic>
              </a:graphicData>
            </a:graphic>
          </wp:anchor>
        </w:drawing>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Brian Read</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(Principal Financial and Accounting Officer)</w:t>
      </w:r>
    </w:p>
    <w:sectPr>
      <w:pgSz w:w="11900" w:h="16838" w:orient="portrait"/>
      <w:cols w:equalWidth="0" w:num="1">
        <w:col w:w="11280"/>
      </w:cols>
      <w:pgMar w:left="300" w:top="89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lowerRoman"/>
      <w:start w:val="4"/>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Roman"/>
      <w:start w:val="2"/>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3"/>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4"/>
    </w:lvl>
  </w:abstractNum>
  <w:abstractNum w:abstractNumId="37">
    <w:nsid w:val="57E4CCAF"/>
    <w:multiLevelType w:val="hybridMultilevel"/>
    <w:lvl w:ilvl="0">
      <w:lvlJc w:val="left"/>
      <w:lvlText w:val="(%1)"/>
      <w:numFmt w:val="decimal"/>
      <w:start w:val="25"/>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5" Type="http://schemas.openxmlformats.org/officeDocument/2006/relationships/image" Target="media/image118.png"/><Relationship Id="rId148" Type="http://schemas.openxmlformats.org/officeDocument/2006/relationships/image" Target="media/image119.png"/><Relationship Id="rId151" Type="http://schemas.openxmlformats.org/officeDocument/2006/relationships/image" Target="media/image120.png"/><Relationship Id="rId154" Type="http://schemas.openxmlformats.org/officeDocument/2006/relationships/image" Target="media/image121.png"/><Relationship Id="rId157" Type="http://schemas.openxmlformats.org/officeDocument/2006/relationships/image" Target="media/image122.png"/><Relationship Id="rId160" Type="http://schemas.openxmlformats.org/officeDocument/2006/relationships/image" Target="media/image123.png"/><Relationship Id="rId163" Type="http://schemas.openxmlformats.org/officeDocument/2006/relationships/image" Target="media/image124.png"/><Relationship Id="rId166" Type="http://schemas.openxmlformats.org/officeDocument/2006/relationships/image" Target="media/image125.png"/><Relationship Id="rId168" Type="http://schemas.openxmlformats.org/officeDocument/2006/relationships/image" Target="media/image126.png"/><Relationship Id="rId171"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123" Type="http://schemas.openxmlformats.org/officeDocument/2006/relationships/hyperlink" Target="https://www.sec.gov/Archives/edgar/data/1832483/000121390023063662/ea180762ex2-1_patriciaacq.htm" TargetMode="External"/><Relationship Id="rId124" Type="http://schemas.openxmlformats.org/officeDocument/2006/relationships/hyperlink" Target="https://www.sec.gov/Archives/edgar/data/1832483/000121390023063662/ea180762ex3-1_patriciaacq.htm" TargetMode="External"/><Relationship Id="rId125" Type="http://schemas.openxmlformats.org/officeDocument/2006/relationships/hyperlink" Target="https://www.sec.gov/Archives/edgar/data/1832483/000121390023063662/ea180762ex3-2_patriciaacq.htm" TargetMode="External"/><Relationship Id="rId126" Type="http://schemas.openxmlformats.org/officeDocument/2006/relationships/hyperlink" Target="https://www.sec.gov/Archives/edgar/data/1832483/000121390023063662/ea180762ex3-3_patriciaacq.htm" TargetMode="External"/><Relationship Id="rId127" Type="http://schemas.openxmlformats.org/officeDocument/2006/relationships/hyperlink" Target="https://www.sec.gov/Archives/edgar/data/1832483/000121390023063662/ea180762ex4-1_patriciaacq.htm" TargetMode="External"/><Relationship Id="rId128" Type="http://schemas.openxmlformats.org/officeDocument/2006/relationships/hyperlink" Target="https://www.sec.gov/Archives/edgar/data/1832483/000121390023063662/ea180762ex4-3_patriciaacq.htm" TargetMode="External"/><Relationship Id="rId129" Type="http://schemas.openxmlformats.org/officeDocument/2006/relationships/hyperlink" Target="https://www.sec.gov/Archives/edgar/data/1832483/000121390024011153/ea192920ex10-3_serve.htm" TargetMode="External"/><Relationship Id="rId130" Type="http://schemas.openxmlformats.org/officeDocument/2006/relationships/hyperlink" Target="https://www.sec.gov/Archives/edgar/data/1832483/000121390024073390/ea021263601ex10-3_serve.htm" TargetMode="External"/><Relationship Id="rId131" Type="http://schemas.openxmlformats.org/officeDocument/2006/relationships/hyperlink" Target="https://www.sec.gov/Archives/edgar/data/1832483/000121390024073390/ea021263601ex10-5_serve.htm" TargetMode="External"/><Relationship Id="rId132" Type="http://schemas.openxmlformats.org/officeDocument/2006/relationships/hyperlink" Target="https://www.sec.gov/Archives/edgar/data/1832483/000121390024018566/ea0200355ex4-8_serverobot.htm" TargetMode="External"/><Relationship Id="rId133" Type="http://schemas.openxmlformats.org/officeDocument/2006/relationships/hyperlink" Target="https://www.sec.gov/Archives/edgar/data/1832483/000121390023063662/ea180762ex10-1_patriciaacq.htm" TargetMode="External"/><Relationship Id="rId134" Type="http://schemas.openxmlformats.org/officeDocument/2006/relationships/hyperlink" Target="https://www.sec.gov/ix?doc=/Archives/edgar/data/0001832483/000121390024031358/ea0203444-8k_serverob.htm" TargetMode="External"/><Relationship Id="rId135" Type="http://schemas.openxmlformats.org/officeDocument/2006/relationships/hyperlink" Target="https://www.sec.gov/Archives/edgar/data/1832483/000121390023063662/ea180762ex10-4_patriciaacq.htm" TargetMode="External"/><Relationship Id="rId136" Type="http://schemas.openxmlformats.org/officeDocument/2006/relationships/hyperlink" Target="https://www.sec.gov/Archives/edgar/data/1832483/000121390023063662/ea180762ex10-5_patriciaacq.htm" TargetMode="External"/><Relationship Id="rId137" Type="http://schemas.openxmlformats.org/officeDocument/2006/relationships/hyperlink" Target="https://www.sec.gov/Archives/edgar/data/1832483/000121390023090587/ea188580ex10-9_serverobo.htm" TargetMode="External"/><Relationship Id="rId138" Type="http://schemas.openxmlformats.org/officeDocument/2006/relationships/hyperlink" Target="https://www.sec.gov/Archives/edgar/data/1832483/000121390023090587/ea188580ex10-10_serverobo.htm" TargetMode="External"/><Relationship Id="rId139" Type="http://schemas.openxmlformats.org/officeDocument/2006/relationships/hyperlink" Target="https://www.sec.gov/Archives/edgar/data/1832483/000121390023090587/ea188580ex10-11_serverobo.htm" TargetMode="External"/><Relationship Id="rId140" Type="http://schemas.openxmlformats.org/officeDocument/2006/relationships/hyperlink" Target="https://www.sec.gov/Archives/edgar/data/1832483/000121390023090587/ea188580ex10-12_serverobo.htm" TargetMode="External"/><Relationship Id="rId141" Type="http://schemas.openxmlformats.org/officeDocument/2006/relationships/hyperlink" Target="https://www.sec.gov/Archives/edgar/data/1832483/000121390024050861/ea020744201ex10-13_serverobo.htm" TargetMode="External"/><Relationship Id="rId144" Type="http://schemas.openxmlformats.org/officeDocument/2006/relationships/hyperlink" Target="https://www.sec.gov/Archives/edgar/data/1832483/000121390023090587/ea188580ex10-13_serverobo.htm" TargetMode="External"/><Relationship Id="rId146" Type="http://schemas.openxmlformats.org/officeDocument/2006/relationships/hyperlink" Target="https://www.sec.gov/Archives/edgar/data/1832483/000121390023090587/ea188580ex10-14_serverobo.htm" TargetMode="External"/><Relationship Id="rId147" Type="http://schemas.openxmlformats.org/officeDocument/2006/relationships/hyperlink" Target="https://www.sec.gov/Archives/edgar/data/1832483/000121390024043174/ea020586901ex10-5_serverobo.htm" TargetMode="External"/><Relationship Id="rId149" Type="http://schemas.openxmlformats.org/officeDocument/2006/relationships/hyperlink" Target="https://www.sec.gov/Archives/edgar/data/1832483/000121390023063662/ea180762ex10-15_patriciaacq.htm" TargetMode="External"/><Relationship Id="rId150" Type="http://schemas.openxmlformats.org/officeDocument/2006/relationships/hyperlink" Target="https://www.sec.gov/Archives/edgar/data/1832483/000121390024057276/ea020860601ex10-37_serverobo.htm" TargetMode="External"/><Relationship Id="rId152" Type="http://schemas.openxmlformats.org/officeDocument/2006/relationships/hyperlink" Target="https://www.sec.gov/Archives/edgar/data/1832483/000121390024057276/ea020860601ex10-38_serverobo.htm" TargetMode="External"/><Relationship Id="rId153" Type="http://schemas.openxmlformats.org/officeDocument/2006/relationships/hyperlink" Target="https://www.sec.gov/Archives/edgar/data/1832483/000121390023063662/ea180762ex10-21_patriciaacq.htm" TargetMode="External"/><Relationship Id="rId155" Type="http://schemas.openxmlformats.org/officeDocument/2006/relationships/hyperlink" Target="https://www.sec.gov/Archives/edgar/data/1832483/000121390023063662/ea180762ex10-22_patriciaacq.htm" TargetMode="External"/><Relationship Id="rId156" Type="http://schemas.openxmlformats.org/officeDocument/2006/relationships/hyperlink" Target="https://www.sec.gov/Archives/edgar/data/1832483/000121390023063662/ea180762ex10-23_patriciaacq.htm" TargetMode="External"/><Relationship Id="rId158" Type="http://schemas.openxmlformats.org/officeDocument/2006/relationships/hyperlink" Target="https://www.sec.gov/Archives/edgar/data/1832483/000121390023063662/ea180762ex10-24_patriciaacq.htm" TargetMode="External"/><Relationship Id="rId159" Type="http://schemas.openxmlformats.org/officeDocument/2006/relationships/hyperlink" Target="https://www.sec.gov/Archives/edgar/data/1832483/000121390024018566/ea0200355ex10-29_serverobot.htm" TargetMode="External"/><Relationship Id="rId161" Type="http://schemas.openxmlformats.org/officeDocument/2006/relationships/hyperlink" Target="https://www.sec.gov/Archives/edgar/data/1832483/000121390024050796/ea0207382-def14a_serverobo.htm#a_035" TargetMode="External"/><Relationship Id="rId162" Type="http://schemas.openxmlformats.org/officeDocument/2006/relationships/hyperlink" Target="https://www.sec.gov/Archives/edgar/data/1832483/000121390024011153/ea192920ex10-1_serve.htm" TargetMode="External"/><Relationship Id="rId164" Type="http://schemas.openxmlformats.org/officeDocument/2006/relationships/hyperlink" Target="https://www.sec.gov/Archives/edgar/data/1832483/000121390024011153/ea192920ex10-2_serve.htm" TargetMode="External"/><Relationship Id="rId165" Type="http://schemas.openxmlformats.org/officeDocument/2006/relationships/hyperlink" Target="https://www.sec.gov/Archives/edgar/data/1832483/000121390024016482/ea0200460ex10-1_serverobo.htm" TargetMode="External"/><Relationship Id="rId167" Type="http://schemas.openxmlformats.org/officeDocument/2006/relationships/hyperlink" Target="https://www.sec.gov/Archives/edgar/data/1832483/000121390024063643/ea020987601ex10-3_serve.htm" TargetMode="External"/><Relationship Id="rId169" Type="http://schemas.openxmlformats.org/officeDocument/2006/relationships/hyperlink" Target="https://www.sec.gov/Archives/edgar/data/1832483/000121390024063643/ea020987601ex10-1_serve.htm" TargetMode="External"/><Relationship Id="rId170" Type="http://schemas.openxmlformats.org/officeDocument/2006/relationships/hyperlink" Target="https://www.sec.gov/Archives/edgar/data/1832483/000121390024073390/ea021263601ex10-2_serve.htm" TargetMode="External"/><Relationship Id="rId172" Type="http://schemas.openxmlformats.org/officeDocument/2006/relationships/hyperlink" Target="https://www.sec.gov/Archives/edgar/data/1832483/000121390024073390/ea021263601ex10-1_serve.htm" TargetMode="External"/><Relationship Id="rId173" Type="http://schemas.openxmlformats.org/officeDocument/2006/relationships/hyperlink" Target="https://www.sec.gov/Archives/edgar/data/1832483/000121390023063662/ea180762ex16-1_patriciaacq.htm" TargetMode="External"/><Relationship Id="rId176" Type="http://schemas.openxmlformats.org/officeDocument/2006/relationships/hyperlink" Target="https://www.sec.gov/Archives/edgar/data/1832483/000121390024018566/ea0200355ex97-1_serverobo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2025-03-06T15:30:43Z</dcterms:created>
  <dcterms:modified xsi:type="dcterms:W3CDTF">2025-03-06T15:30:43Z</dcterms:modified>
</cp:coreProperties>
</file>