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2944495</wp:posOffset>
            </wp:positionH>
            <wp:positionV relativeFrom="paragraph">
              <wp:posOffset>137795</wp:posOffset>
            </wp:positionV>
            <wp:extent cx="1229360" cy="530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9360" cy="530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000-56237</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85-3844872</w:t>
            </w:r>
          </w:p>
        </w:tc>
      </w:tr>
      <w:tr>
        <w:trPr>
          <w:trHeight w:val="175"/>
        </w:trPr>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8"/>
              </w:rPr>
              <w:t>(State or Other Jurisdiction</w:t>
            </w: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560"/>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(IRS Employer</w:t>
            </w:r>
          </w:p>
        </w:tc>
      </w:tr>
      <w:tr>
        <w:trPr>
          <w:trHeight w:val="208"/>
        </w:trPr>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color w:val="auto"/>
                <w:w w:val="98"/>
              </w:rPr>
              <w:t>of Incorporation)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4400" w:type="dxa"/>
            <w:vAlign w:val="bottom"/>
            <w:gridSpan w:val="3"/>
          </w:tcPr>
          <w:p>
            <w:pPr>
              <w:jc w:val="center"/>
              <w:ind w:left="1020"/>
              <w:spacing w:after="0"/>
              <w:rPr>
                <w:sz w:val="20"/>
                <w:szCs w:val="20"/>
                <w:color w:val="auto"/>
              </w:rPr>
            </w:pPr>
            <w:r>
              <w:rPr>
                <w:rFonts w:ascii="Times New Roman" w:cs="Times New Roman" w:eastAsia="Times New Roman" w:hAnsi="Times New Roman"/>
                <w:sz w:val="16"/>
                <w:szCs w:val="16"/>
                <w:b w:val="1"/>
                <w:bCs w:val="1"/>
                <w:color w:val="auto"/>
                <w:w w:val="99"/>
              </w:rPr>
              <w:t>730 Broadway</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4"/>
        </w:trPr>
        <w:tc>
          <w:tcPr>
            <w:tcW w:w="4400" w:type="dxa"/>
            <w:vAlign w:val="bottom"/>
            <w:tcBorders>
              <w:bottom w:val="single" w:sz="8" w:color="auto"/>
            </w:tcBorders>
            <w:gridSpan w:val="3"/>
          </w:tcPr>
          <w:p>
            <w:pPr>
              <w:jc w:val="center"/>
              <w:ind w:left="1040"/>
              <w:spacing w:after="0"/>
              <w:rPr>
                <w:sz w:val="20"/>
                <w:szCs w:val="20"/>
                <w:color w:val="auto"/>
              </w:rPr>
            </w:pPr>
            <w:r>
              <w:rPr>
                <w:rFonts w:ascii="Times New Roman" w:cs="Times New Roman" w:eastAsia="Times New Roman" w:hAnsi="Times New Roman"/>
                <w:sz w:val="16"/>
                <w:szCs w:val="16"/>
                <w:b w:val="1"/>
                <w:bCs w:val="1"/>
                <w:color w:val="auto"/>
                <w:w w:val="99"/>
              </w:rPr>
              <w:t>Redwood City, CA</w:t>
            </w: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94063</w:t>
            </w:r>
          </w:p>
        </w:tc>
      </w:tr>
      <w:tr>
        <w:trPr>
          <w:trHeight w:val="208"/>
        </w:trPr>
        <w:tc>
          <w:tcPr>
            <w:tcW w:w="4400" w:type="dxa"/>
            <w:vAlign w:val="bottom"/>
            <w:gridSpan w:val="3"/>
          </w:tcPr>
          <w:p>
            <w:pPr>
              <w:jc w:val="center"/>
              <w:ind w:left="104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(818) 860-1352</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386"/>
        </w:trPr>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2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4440" w:type="dxa"/>
            <w:vAlign w:val="bottom"/>
            <w:gridSpan w:val="3"/>
            <w:shd w:val="clear" w:color="auto" w:fill="CCEEFF"/>
          </w:tcPr>
          <w:p>
            <w:pPr>
              <w:jc w:val="center"/>
              <w:ind w:right="840"/>
              <w:spacing w:after="0"/>
              <w:rPr>
                <w:sz w:val="20"/>
                <w:szCs w:val="20"/>
                <w:color w:val="auto"/>
              </w:rPr>
            </w:pPr>
            <w:r>
              <w:rPr>
                <w:rFonts w:ascii="Times New Roman" w:cs="Times New Roman" w:eastAsia="Times New Roman" w:hAnsi="Times New Roman"/>
                <w:sz w:val="16"/>
                <w:szCs w:val="16"/>
                <w:color w:val="auto"/>
                <w:w w:val="99"/>
              </w:rPr>
              <w:t>Common Stock, par value $0.0001 per share</w:t>
            </w:r>
          </w:p>
        </w:tc>
        <w:tc>
          <w:tcPr>
            <w:tcW w:w="3000" w:type="dxa"/>
            <w:vAlign w:val="bottom"/>
            <w:shd w:val="clear" w:color="auto" w:fill="CCEEFF"/>
          </w:tcPr>
          <w:p>
            <w:pPr>
              <w:jc w:val="center"/>
              <w:ind w:right="520"/>
              <w:spacing w:after="0"/>
              <w:rPr>
                <w:sz w:val="20"/>
                <w:szCs w:val="20"/>
                <w:color w:val="auto"/>
              </w:rPr>
            </w:pPr>
            <w:r>
              <w:rPr>
                <w:rFonts w:ascii="Times New Roman" w:cs="Times New Roman" w:eastAsia="Times New Roman" w:hAnsi="Times New Roman"/>
                <w:sz w:val="16"/>
                <w:szCs w:val="16"/>
                <w:color w:val="auto"/>
                <w:w w:val="97"/>
              </w:rPr>
              <w:t>SERV</w:t>
            </w: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75" w:lineRule="exact"/>
        <w:rPr>
          <w:sz w:val="24"/>
          <w:szCs w:val="24"/>
          <w:color w:val="auto"/>
        </w:rPr>
      </w:pPr>
    </w:p>
    <w:p>
      <w:pPr>
        <w:jc w:val="both"/>
        <w:ind w:left="4"/>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9324"/>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46" w:lineRule="exact"/>
        <w:rPr>
          <w:sz w:val="24"/>
          <w:szCs w:val="24"/>
          <w:color w:val="auto"/>
        </w:rPr>
      </w:pPr>
    </w:p>
    <w:p>
      <w:pPr>
        <w:jc w:val="both"/>
        <w:ind w:left="4"/>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May 15, 2024, Serve Robotics Inc. (the “Company”) announced its financial results for the three months ended March 31, 2024. The full text of the press release issued in connection with the announcement is furnished as Exhibit 99.1 to this Current Report on Form 8-K.</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May 15, 2024, the Company made available on its website a revised Company investor presentation. A copy of the presentation is furnished as Exhibit 99.2 to this Current Report on Form 8-K.</w:t>
      </w:r>
    </w:p>
    <w:p>
      <w:pPr>
        <w:spacing w:after="0" w:line="144"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information in this Form 8-K (including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 List of Exhibits.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60" w:type="dxa"/>
            <w:vAlign w:val="bottom"/>
          </w:tcPr>
          <w:p>
            <w:pPr>
              <w:spacing w:after="0"/>
              <w:rPr>
                <w:sz w:val="16"/>
                <w:szCs w:val="16"/>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4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0100" w:type="dxa"/>
            <w:vAlign w:val="bottom"/>
            <w:tcBorders>
              <w:top w:val="single" w:sz="8" w:color="auto"/>
            </w:tcBorders>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15, 2024</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14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6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244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7"/>
              </w:rPr>
              <w:t>Investor Presentation, dated May 2024</w:t>
            </w:r>
          </w:p>
        </w:tc>
        <w:tc>
          <w:tcPr>
            <w:tcW w:w="7660" w:type="dxa"/>
            <w:vAlign w:val="bottom"/>
          </w:tcPr>
          <w:p>
            <w:pPr>
              <w:spacing w:after="0"/>
              <w:rPr>
                <w:sz w:val="13"/>
                <w:szCs w:val="13"/>
                <w:color w:val="auto"/>
              </w:rPr>
            </w:pPr>
          </w:p>
        </w:tc>
      </w:tr>
    </w:tbl>
    <w:p>
      <w:pPr>
        <w:spacing w:after="0" w:line="7" w:lineRule="exact"/>
        <w:rPr>
          <w:sz w:val="20"/>
          <w:szCs w:val="20"/>
          <w:color w:val="auto"/>
        </w:rPr>
      </w:pPr>
    </w:p>
    <w:p>
      <w:pPr>
        <w:ind w:left="5584" w:right="5020" w:hanging="5584"/>
        <w:spacing w:after="0" w:line="560"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-244475</wp:posOffset>
            </wp:positionV>
            <wp:extent cx="7148195" cy="121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255905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firstLine="39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Serve Robotics Inc.</w:t>
      </w:r>
    </w:p>
    <w:p>
      <w:pPr>
        <w:spacing w:after="0" w:line="19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Dated: May 15, 2024</w:t>
      </w:r>
      <w:r>
        <w:rPr>
          <w:sz w:val="20"/>
          <w:szCs w:val="20"/>
          <w:color w:val="auto"/>
        </w:rPr>
        <w:tab/>
      </w:r>
      <w:r>
        <w:rPr>
          <w:rFonts w:ascii="Times New Roman" w:cs="Times New Roman" w:eastAsia="Times New Roman" w:hAnsi="Times New Roman"/>
          <w:sz w:val="15"/>
          <w:szCs w:val="15"/>
          <w:i w:val="1"/>
          <w:iCs w:val="1"/>
          <w:color w:val="auto"/>
        </w:rPr>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16510</wp:posOffset>
            </wp:positionV>
            <wp:extent cx="285305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Ali Kashani</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Chief Executive Officer and Director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38" w:right="339" w:bottom="1440" w:gutter="0" w:footer="0" w:header="0"/>
        </w:sectPr>
      </w:pPr>
    </w:p>
    <w:bookmarkStart w:id="3" w:name="page4"/>
    <w:bookmarkEnd w:id="3"/>
    <w:p>
      <w:pPr>
        <w:ind w:left="1038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1176020" cy="234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6020" cy="23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i w:val="1"/>
          <w:iCs w:val="1"/>
          <w:color w:val="auto"/>
        </w:rPr>
        <w:t>Serve Robotics Announces First Quarter 2024 Results and Provides Corporate Update</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Revenue of $0.95 million; 124% sequential growth in delivery and branding revenue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Signed agreement with Magna International for a long-term licensing partnership and exclusive contract manufacturing of Serve robots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Post quarter-end, successfully uplisted to the Nasdaq Capital Market with concurrent $40 million equity offering</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Continued focus on deploying 2,000 robots under Uber Eats contract</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SAN FRANCISCO, May 15, 2024 — Serve Robotics Inc. (the “Company” or “Serve”) (Nasdaq:SERV), a leading autonomous sidewalk delivery company, today announced financial results for the three months ended March 31, 2024 and provided a corporate update.</w:t>
      </w:r>
    </w:p>
    <w:p>
      <w:pPr>
        <w:spacing w:after="0" w:line="14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Company delivered improvements in our operational key metrics and fundamentals, including a 97% increase in daily supply hours and a 70% increase in daily active robots, when compared to the first quarter of last year. These improvements were achieved while our costs to service delivery and branding revenue remained steady. This is a testament to our employees’ execution on Serve’s mission to reduce the cost of last-mile transportation, and highlight our dedication to scaling our operations infrastructure. Our core technology continues to be validated by our partners, as evidenced through our recent agreements with Magna International, and we continue to see strong demand for our robots to be deployed into existing and new markets. We are also very excited to continue our growth through the completion of our $40 million underwritten public offering, supported by our strategic investors Uber and Nvidia, and our recent listing on Nasdaq,” said Ali Kashani, Serve’s Cofounder and CEO. “We look forward to executing on the milestones within our strategic plan, which we intend to provide to stockholders in the coming months.”</w:t>
      </w:r>
    </w:p>
    <w:p>
      <w:pPr>
        <w:spacing w:after="0" w:line="16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Serve’s near-term strategic focus remains executing its plan to develop, manufacture, and deploy a fleet of 2,000 autonomous robots on the Uber Eats platform through 2025. The proceeds from the Company’s underwritten public offering in April 2024 allowed Serve to unlock procurement commitments, initiate final design-for-manufacturing reviews, and conduct further validation testing in advance of full-scale commercial production.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Serve’s long-term vision remains to deploy robots in adjacent delivery and transportation verticals within multiple markets.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2024 and Recent Highlights</w:t>
      </w:r>
    </w:p>
    <w:p>
      <w:pPr>
        <w:spacing w:after="0" w:line="198" w:lineRule="exact"/>
        <w:rPr>
          <w:sz w:val="20"/>
          <w:szCs w:val="20"/>
          <w:color w:val="auto"/>
        </w:rPr>
      </w:pPr>
    </w:p>
    <w:p>
      <w:pPr>
        <w:jc w:val="both"/>
        <w:ind w:left="560" w:hanging="278"/>
        <w:spacing w:after="0" w:line="266"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Public Market Debut: </w:t>
      </w:r>
      <w:r>
        <w:rPr>
          <w:rFonts w:ascii="Times New Roman" w:cs="Times New Roman" w:eastAsia="Times New Roman" w:hAnsi="Times New Roman"/>
          <w:sz w:val="16"/>
          <w:szCs w:val="16"/>
          <w:color w:val="auto"/>
        </w:rPr>
        <w:t>The Company commenced listing on the OTCQB on March 7, 2024. Following the end of our first quarter, the Company completed 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uplisting to the Nasdaq Capital Market, and began trading on the Nasdaq Capital Market under the ticker symbol “SERV” on April 18, 2024. This uplisting enabled the completion of a public equity offering generating $40.0 million in gross proceeds.</w:t>
      </w:r>
    </w:p>
    <w:p>
      <w:pPr>
        <w:spacing w:after="0" w:line="15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Strategic Investments: </w:t>
      </w:r>
      <w:r>
        <w:rPr>
          <w:rFonts w:ascii="Times New Roman" w:cs="Times New Roman" w:eastAsia="Times New Roman" w:hAnsi="Times New Roman"/>
          <w:sz w:val="16"/>
          <w:szCs w:val="16"/>
          <w:color w:val="auto"/>
        </w:rPr>
        <w:t>Participation in the offering included $4.5 million of new investment from one of Serve’s largest stockholders and strategic</w:t>
      </w:r>
    </w:p>
    <w:p>
      <w:pPr>
        <w:spacing w:after="0" w:line="25" w:lineRule="exact"/>
        <w:rPr>
          <w:rFonts w:ascii="Times New Roman" w:cs="Times New Roman" w:eastAsia="Times New Roman" w:hAnsi="Times New Roman"/>
          <w:sz w:val="16"/>
          <w:szCs w:val="16"/>
          <w:color w:val="auto"/>
        </w:rPr>
      </w:pPr>
    </w:p>
    <w:p>
      <w:pPr>
        <w:ind w:left="560"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partners, Postmates, LLC, a wholly-owned subsidiary of Uber Technologies Inc (NYSE: UBER). Long-term technology partner NVIDIA (Nasdaq: NVDA) also participated in a $2.5 million investment round closed on January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370840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jc w:val="both"/>
        <w:ind w:left="564" w:right="20" w:hanging="278"/>
        <w:spacing w:after="0" w:line="266" w:lineRule="auto"/>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176020" cy="234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 xml:space="preserve">Operational Performance: </w:t>
      </w:r>
      <w:r>
        <w:rPr>
          <w:rFonts w:ascii="Times New Roman" w:cs="Times New Roman" w:eastAsia="Times New Roman" w:hAnsi="Times New Roman"/>
          <w:sz w:val="16"/>
          <w:szCs w:val="16"/>
          <w:color w:val="auto"/>
        </w:rPr>
        <w:t>Serve averaged 300 daily supply hours during the first quarter 2024, a 97% increase compared to first quarter 2023, and a 15% increase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compared to fourth quarter 2023. The Company also achieved a 70% increase in daily active robots for the first quarter 2024 compared to first quarter 2023, and 15% increase compared to fourth quarter 2023.</w:t>
      </w:r>
    </w:p>
    <w:p>
      <w:pPr>
        <w:spacing w:after="0" w:line="153" w:lineRule="exact"/>
        <w:rPr>
          <w:rFonts w:ascii="Times New Roman" w:cs="Times New Roman" w:eastAsia="Times New Roman" w:hAnsi="Times New Roman"/>
          <w:sz w:val="16"/>
          <w:szCs w:val="16"/>
          <w:color w:val="auto"/>
        </w:rPr>
      </w:pPr>
    </w:p>
    <w:p>
      <w:pPr>
        <w:jc w:val="both"/>
        <w:ind w:left="564" w:right="20" w:hanging="278"/>
        <w:spacing w:after="0" w:line="266" w:lineRule="auto"/>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Magna Collaboration: </w:t>
      </w:r>
      <w:r>
        <w:rPr>
          <w:rFonts w:ascii="Times New Roman" w:cs="Times New Roman" w:eastAsia="Times New Roman" w:hAnsi="Times New Roman"/>
          <w:sz w:val="16"/>
          <w:szCs w:val="16"/>
          <w:color w:val="auto"/>
        </w:rPr>
        <w:t>Serve entered into a Master Services Agreement (“MSA”) with Magna International Inc. (“Magna”) (TSX: MG; NYSE: MGA), one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world’s largest automotive suppliers. Included in the MSA was both a statement of work for services to be provided by Serve, and a licensing agreement in which the Company licensed its autonomous technology software to accelerate Magna’s development into new products within the robotics and logistics space.</w:t>
      </w:r>
    </w:p>
    <w:p>
      <w:pPr>
        <w:spacing w:after="0" w:line="177" w:lineRule="exact"/>
        <w:rPr>
          <w:sz w:val="20"/>
          <w:szCs w:val="20"/>
          <w:color w:val="auto"/>
        </w:rPr>
      </w:pPr>
    </w:p>
    <w:p>
      <w:pPr>
        <w:ind w:left="864" w:right="20" w:hanging="291"/>
        <w:spacing w:after="0" w:line="283" w:lineRule="auto"/>
        <w:tabs>
          <w:tab w:leader="none" w:pos="86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Manufacturing: </w:t>
      </w:r>
      <w:r>
        <w:rPr>
          <w:rFonts w:ascii="Times New Roman" w:cs="Times New Roman" w:eastAsia="Times New Roman" w:hAnsi="Times New Roman"/>
          <w:sz w:val="16"/>
          <w:szCs w:val="16"/>
          <w:color w:val="auto"/>
        </w:rPr>
        <w:t>On April 24, 2024, the Magna MSA was expanded through the establishment of a new production and purchase agreement wherein Magna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became the exclusive contract manufacturer of Serve’s delivery robots.</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First Quarter Financial Highlights</w:t>
      </w:r>
    </w:p>
    <w:p>
      <w:pPr>
        <w:spacing w:after="0" w:line="200" w:lineRule="exact"/>
        <w:rPr>
          <w:sz w:val="20"/>
          <w:szCs w:val="20"/>
          <w:color w:val="auto"/>
        </w:rPr>
      </w:pPr>
    </w:p>
    <w:p>
      <w:pPr>
        <w:ind w:left="564" w:right="20" w:hanging="278"/>
        <w:spacing w:after="0" w:line="280" w:lineRule="auto"/>
        <w:tabs>
          <w:tab w:leader="none" w:pos="56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quarter revenue was $0.95 million including $0.85 million of software service revenue derived from the Company’s agreement with Magna. The Company expects to recognize the remaining $0.35 million in the second quarter 2024.</w:t>
      </w:r>
    </w:p>
    <w:p>
      <w:pPr>
        <w:spacing w:after="0" w:line="144" w:lineRule="exact"/>
        <w:rPr>
          <w:rFonts w:ascii="Times New Roman" w:cs="Times New Roman" w:eastAsia="Times New Roman" w:hAnsi="Times New Roman"/>
          <w:sz w:val="16"/>
          <w:szCs w:val="16"/>
          <w:color w:val="auto"/>
        </w:rPr>
      </w:pPr>
    </w:p>
    <w:p>
      <w:pPr>
        <w:ind w:left="564" w:hanging="278"/>
        <w:spacing w:after="0" w:line="280" w:lineRule="auto"/>
        <w:tabs>
          <w:tab w:leader="none" w:pos="56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Company had $0.43 million of cash and cash equivalents. As of April 30, 2024, the Company had approximately $34.2 million of cash and cash equivalents, after including proceeds from its April 2024 public offering.</w:t>
      </w:r>
    </w:p>
    <w:p>
      <w:pPr>
        <w:spacing w:after="0" w:line="144" w:lineRule="exact"/>
        <w:rPr>
          <w:rFonts w:ascii="Times New Roman" w:cs="Times New Roman" w:eastAsia="Times New Roman" w:hAnsi="Times New Roman"/>
          <w:sz w:val="16"/>
          <w:szCs w:val="16"/>
          <w:color w:val="auto"/>
        </w:rPr>
      </w:pPr>
    </w:p>
    <w:p>
      <w:pPr>
        <w:ind w:left="564" w:right="20" w:hanging="278"/>
        <w:spacing w:after="0" w:line="280" w:lineRule="auto"/>
        <w:tabs>
          <w:tab w:leader="none" w:pos="56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March 31, 2024, the Company had 24.6 million shares of common stock outstanding. As of May 13, 2024, following the share issuance from the Company’s April 2024 public offering, the Company had 37.1 million shares of common stock outstanding, and 42.2 million shares on a fully diluted basis.</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Supplemental Financial Information</w:t>
      </w:r>
    </w:p>
    <w:p>
      <w:pPr>
        <w:spacing w:after="0" w:line="200"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key metrics and financial tables outlined below are metrics that provide management with additional understanding of the drivers of business performance and the Company’s ability to deliver stockholder return. Investors should not place undue reliance on these metrics as indicators of future or expected results. The Company’s presentation of these metrics may differ from similarly titled metrics presented by other companies and therefore comparability may be limited.</w:t>
      </w:r>
    </w:p>
    <w:p>
      <w:pPr>
        <w:spacing w:after="0" w:line="153" w:lineRule="exact"/>
        <w:rPr>
          <w:sz w:val="20"/>
          <w:szCs w:val="20"/>
          <w:color w:val="auto"/>
        </w:rPr>
      </w:pPr>
    </w:p>
    <w:tbl>
      <w:tblPr>
        <w:tblLayout w:type="fixed"/>
        <w:tblInd w:w="4" w:type="dxa"/>
        <w:tblCellMar>
          <w:top w:w="0" w:type="dxa"/>
          <w:left w:w="0" w:type="dxa"/>
          <w:bottom w:w="0" w:type="dxa"/>
          <w:right w:w="0" w:type="dxa"/>
        </w:tblCellMar>
      </w:tblP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Table 1: Key Metrics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6"/>
        </w:trPr>
        <w:tc>
          <w:tcPr>
            <w:tcW w:w="8680" w:type="dxa"/>
            <w:vAlign w:val="bottom"/>
          </w:tcPr>
          <w:p>
            <w:pPr>
              <w:spacing w:after="0"/>
              <w:rPr>
                <w:sz w:val="24"/>
                <w:szCs w:val="24"/>
                <w:color w:val="auto"/>
              </w:rPr>
            </w:pPr>
          </w:p>
        </w:tc>
        <w:tc>
          <w:tcPr>
            <w:tcW w:w="258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8680" w:type="dxa"/>
            <w:vAlign w:val="bottom"/>
          </w:tcPr>
          <w:p>
            <w:pPr>
              <w:spacing w:after="0"/>
              <w:rPr>
                <w:sz w:val="18"/>
                <w:szCs w:val="18"/>
                <w:color w:val="auto"/>
              </w:rPr>
            </w:pPr>
          </w:p>
        </w:tc>
        <w:tc>
          <w:tcPr>
            <w:tcW w:w="2580" w:type="dxa"/>
            <w:vAlign w:val="bottom"/>
            <w:gridSpan w:val="4"/>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7"/>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1"/>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Key Metrics</w:t>
            </w: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(Unaudited)</w:t>
            </w:r>
          </w:p>
        </w:tc>
        <w:tc>
          <w:tcPr>
            <w:tcW w:w="240" w:type="dxa"/>
            <w:vAlign w:val="bottom"/>
          </w:tcPr>
          <w:p>
            <w:pPr>
              <w:spacing w:after="0"/>
              <w:rPr>
                <w:sz w:val="16"/>
                <w:szCs w:val="16"/>
                <w:color w:val="auto"/>
              </w:rPr>
            </w:pP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6"/>
                <w:szCs w:val="16"/>
                <w:color w:val="auto"/>
              </w:rPr>
            </w:pPr>
          </w:p>
        </w:tc>
      </w:tr>
      <w:tr>
        <w:trPr>
          <w:trHeight w:val="227"/>
        </w:trPr>
        <w:tc>
          <w:tcPr>
            <w:tcW w:w="8680" w:type="dxa"/>
            <w:vAlign w:val="bottom"/>
            <w:shd w:val="clear" w:color="auto" w:fill="CCEEFF"/>
          </w:tcPr>
          <w:p>
            <w:pPr>
              <w:spacing w:after="0" w:line="227" w:lineRule="exact"/>
              <w:rPr>
                <w:sz w:val="20"/>
                <w:szCs w:val="20"/>
                <w:color w:val="auto"/>
              </w:rPr>
            </w:pPr>
            <w:r>
              <w:rPr>
                <w:rFonts w:ascii="Times New Roman" w:cs="Times New Roman" w:eastAsia="Times New Roman" w:hAnsi="Times New Roman"/>
                <w:sz w:val="16"/>
                <w:szCs w:val="16"/>
                <w:color w:val="auto"/>
              </w:rPr>
              <w:t xml:space="preserve">Daily Active Robots </w:t>
            </w:r>
            <w:r>
              <w:rPr>
                <w:rFonts w:ascii="Times New Roman" w:cs="Times New Roman" w:eastAsia="Times New Roman" w:hAnsi="Times New Roman"/>
                <w:sz w:val="26"/>
                <w:szCs w:val="26"/>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r>
      <w:tr>
        <w:trPr>
          <w:trHeight w:val="350"/>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Daily Supply Hours </w:t>
            </w:r>
            <w:r>
              <w:rPr>
                <w:rFonts w:ascii="Times New Roman" w:cs="Times New Roman" w:eastAsia="Times New Roman" w:hAnsi="Times New Roman"/>
                <w:sz w:val="26"/>
                <w:szCs w:val="26"/>
                <w:color w:val="auto"/>
                <w:vertAlign w:val="superscript"/>
              </w:rPr>
              <w:t>(2)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152</w:t>
            </w:r>
          </w:p>
        </w:tc>
      </w:tr>
    </w:tbl>
    <w:p>
      <w:pPr>
        <w:spacing w:after="0" w:line="50" w:lineRule="exact"/>
        <w:rPr>
          <w:sz w:val="20"/>
          <w:szCs w:val="20"/>
          <w:color w:val="auto"/>
        </w:rPr>
      </w:pPr>
    </w:p>
    <w:p>
      <w:pPr>
        <w:ind w:left="284" w:hanging="284"/>
        <w:spacing w:after="0"/>
        <w:tabs>
          <w:tab w:leader="none" w:pos="2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Daily Active Robots: </w:t>
      </w:r>
      <w:r>
        <w:rPr>
          <w:rFonts w:ascii="Times New Roman" w:cs="Times New Roman" w:eastAsia="Times New Roman" w:hAnsi="Times New Roman"/>
          <w:sz w:val="16"/>
          <w:szCs w:val="16"/>
          <w:color w:val="auto"/>
        </w:rPr>
        <w:t>The Company defines daily active robots as the average number of robots performing daily deliveries during the period.</w:t>
      </w:r>
    </w:p>
    <w:p>
      <w:pPr>
        <w:spacing w:after="0" w:line="25" w:lineRule="exact"/>
        <w:rPr>
          <w:rFonts w:ascii="Times New Roman" w:cs="Times New Roman" w:eastAsia="Times New Roman" w:hAnsi="Times New Roman"/>
          <w:sz w:val="16"/>
          <w:szCs w:val="16"/>
          <w:color w:val="auto"/>
        </w:rPr>
      </w:pPr>
    </w:p>
    <w:p>
      <w:pPr>
        <w:ind w:left="284" w:right="20" w:hanging="284"/>
        <w:spacing w:after="0" w:line="258" w:lineRule="auto"/>
        <w:tabs>
          <w:tab w:leader="none" w:pos="28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Daily Supply Hours: </w:t>
      </w:r>
      <w:r>
        <w:rPr>
          <w:rFonts w:ascii="Times New Roman" w:cs="Times New Roman" w:eastAsia="Times New Roman" w:hAnsi="Times New Roman"/>
          <w:sz w:val="16"/>
          <w:szCs w:val="16"/>
          <w:color w:val="auto"/>
        </w:rPr>
        <w:t>The Company defines daily supply hours as the average number of hours the Company’s robots are ready to accept offers and perform daily deliveries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the period.</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42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176020" cy="234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Forward 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we or our management are discussing our beliefs, estimates or expectations. Such statements generally include the words “believes,” “plans,” “intends,” “targets,” “may,” “could,” “should,” “will,” “expects,” “estimates,” “suggests,” “anticipates,” “outlook,” “continues,” or similar expressions. These statements are not historical facts or guarantees of future performance, but represent management’s belief at the time the statements were made regarding future events which are subject to certain risks, uncertainties and other factors, many of which are outside of our control. Actual results and outcomes may differ materially from what is expressed or forecast in such forward-looking statements. Forward-looking statements include, without limitation, statements regarding the Company’s partnership with Magna, timing of the Company’s robot deployment, the Company’s ability to expand to additional markets, and the Company’s timing and ability to scale to commercial production.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forward-looking statements contained in this release are also subject to other risks and uncertainties, including those more fully described in our filings with the Securities and Exchange Commission (“SEC”), including in the sections entitled “Risk Factors” and “Management’s Discussion and Analysis of Financial Condition and Results of Operations’’ in our Annual Report on Form 10-K for the year ended December 31, 2023, our Quarterly Report on Form 10-Q for the three months ended March 31, 2024 that will be filed following this earnings release, and in our subsequent SEC filings. We can give no assurance that the plans, intentions, expectations or strategies as reflected in or suggested by those forward-looking statements will be attained or achieved. The forward-looking statements in this release are based on information available to us as of the date hereof, and we disclaim any obligation to update any forward-looking statements, except as required by law. These forward-looking statements should not be relied upon as representing our views as of any date subsequent to the date of this press release.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23"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176020" cy="234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Serve Robotics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4"/>
        </w:trPr>
        <w:tc>
          <w:tcPr>
            <w:tcW w:w="8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5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427,482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6,756</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266,030</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2,955</w:t>
            </w: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736,535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774,349</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629,610</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676,969</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offering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973,491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tcBorders>
              <w:top w:val="single" w:sz="8" w:color="CCEEFF"/>
            </w:tcBorders>
          </w:tcPr>
          <w:p>
            <w:pPr>
              <w:ind w:left="280"/>
              <w:spacing w:after="0" w:line="175" w:lineRule="exact"/>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3,033,148</w:t>
            </w: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1,461,029</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33,839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48,422</w:t>
            </w:r>
          </w:p>
        </w:tc>
        <w:tc>
          <w:tcPr>
            <w:tcW w:w="0" w:type="dxa"/>
            <w:vAlign w:val="bottom"/>
          </w:tcPr>
          <w:p>
            <w:pPr>
              <w:spacing w:after="0"/>
              <w:rPr>
                <w:sz w:val="1"/>
                <w:szCs w:val="1"/>
                <w:color w:val="auto"/>
              </w:rPr>
            </w:pPr>
          </w:p>
        </w:tc>
      </w:tr>
      <w:tr>
        <w:trPr>
          <w:trHeight w:val="191"/>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asset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668,462</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782,439</w:t>
            </w:r>
          </w:p>
        </w:tc>
        <w:tc>
          <w:tcPr>
            <w:tcW w:w="0" w:type="dxa"/>
            <w:vAlign w:val="bottom"/>
          </w:tcPr>
          <w:p>
            <w:pPr>
              <w:spacing w:after="0"/>
              <w:rPr>
                <w:sz w:val="1"/>
                <w:szCs w:val="1"/>
                <w:color w:val="auto"/>
              </w:rPr>
            </w:pPr>
          </w:p>
        </w:tc>
      </w:tr>
      <w:tr>
        <w:trPr>
          <w:trHeight w:val="203"/>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512,659</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512,659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vMerge w:val="continue"/>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4,248,108</w:t>
            </w:r>
          </w:p>
        </w:tc>
        <w:tc>
          <w:tcPr>
            <w:tcW w:w="2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85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1,725,064</w:t>
            </w:r>
          </w:p>
        </w:tc>
        <w:tc>
          <w:tcPr>
            <w:tcW w:w="2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2,050,605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1,151,158</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255,849</w:t>
            </w: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68,899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 payable, current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 payable - related party</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70,000</w:t>
            </w: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Convertible notes payable, net of debt discount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4,549,395</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liability</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1,489,000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liability, current portion</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474,649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496,963</w:t>
            </w:r>
          </w:p>
        </w:tc>
        <w:tc>
          <w:tcPr>
            <w:tcW w:w="0" w:type="dxa"/>
            <w:vAlign w:val="bottom"/>
          </w:tcPr>
          <w:p>
            <w:pPr>
              <w:spacing w:after="0"/>
              <w:rPr>
                <w:sz w:val="1"/>
                <w:szCs w:val="1"/>
                <w:color w:val="auto"/>
              </w:rPr>
            </w:pPr>
          </w:p>
        </w:tc>
      </w:tr>
      <w:tr>
        <w:trPr>
          <w:trHeight w:val="207"/>
        </w:trPr>
        <w:tc>
          <w:tcPr>
            <w:tcW w:w="8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2,335,796</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2,363,807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12,793,961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6,237,224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Note payable, net of current portion</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230,933</w:t>
            </w: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 liability</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154,630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158,617</w:t>
            </w:r>
          </w:p>
        </w:tc>
        <w:tc>
          <w:tcPr>
            <w:tcW w:w="0" w:type="dxa"/>
            <w:vAlign w:val="bottom"/>
          </w:tcPr>
          <w:p>
            <w:pPr>
              <w:spacing w:after="0"/>
              <w:rPr>
                <w:sz w:val="1"/>
                <w:szCs w:val="1"/>
                <w:color w:val="auto"/>
              </w:rPr>
            </w:pPr>
          </w:p>
        </w:tc>
      </w:tr>
      <w:tr>
        <w:trPr>
          <w:trHeight w:val="20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Right of use liability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105,643</w:t>
            </w:r>
          </w:p>
        </w:tc>
        <w:tc>
          <w:tcPr>
            <w:tcW w:w="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211,181</w:t>
            </w:r>
          </w:p>
        </w:tc>
        <w:tc>
          <w:tcPr>
            <w:tcW w:w="0" w:type="dxa"/>
            <w:vAlign w:val="bottom"/>
          </w:tcPr>
          <w:p>
            <w:pPr>
              <w:spacing w:after="0"/>
              <w:rPr>
                <w:sz w:val="1"/>
                <w:szCs w:val="1"/>
                <w:color w:val="auto"/>
              </w:rPr>
            </w:pPr>
          </w:p>
        </w:tc>
      </w:tr>
      <w:tr>
        <w:trPr>
          <w:trHeight w:val="195"/>
        </w:trPr>
        <w:tc>
          <w:tcPr>
            <w:tcW w:w="85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13,054,234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6,837,955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52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or outstanding as of both March 31, 2024 and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31, 2023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52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Common stock, $0.0001 par value; 300,000,000 shares authorized, 24,957,814 and 24,832,814 shares issued and 24,633,795 and</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24,508,795 shares outstanding as of both March 31, 2024 and December 31, 2023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2,462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2,450</w:t>
            </w:r>
          </w:p>
        </w:tc>
        <w:tc>
          <w:tcPr>
            <w:tcW w:w="0" w:type="dxa"/>
            <w:vAlign w:val="bottom"/>
          </w:tcPr>
          <w:p>
            <w:pPr>
              <w:spacing w:after="0"/>
              <w:rPr>
                <w:sz w:val="1"/>
                <w:szCs w:val="1"/>
                <w:color w:val="auto"/>
              </w:rPr>
            </w:pPr>
          </w:p>
        </w:tc>
      </w:tr>
      <w:tr>
        <w:trPr>
          <w:trHeight w:val="191"/>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68,729,393</w:t>
            </w:r>
          </w:p>
        </w:tc>
        <w:tc>
          <w:tcPr>
            <w:tcW w:w="8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64,468,141</w:t>
            </w:r>
          </w:p>
        </w:tc>
        <w:tc>
          <w:tcPr>
            <w:tcW w:w="0" w:type="dxa"/>
            <w:vAlign w:val="bottom"/>
          </w:tcPr>
          <w:p>
            <w:pPr>
              <w:spacing w:after="0"/>
              <w:rPr>
                <w:sz w:val="1"/>
                <w:szCs w:val="1"/>
                <w:color w:val="auto"/>
              </w:rPr>
            </w:pPr>
          </w:p>
        </w:tc>
      </w:tr>
      <w:tr>
        <w:trPr>
          <w:trHeight w:val="191"/>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Subscription receivable</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(165,629)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(169,616)</w:t>
            </w:r>
          </w:p>
        </w:tc>
        <w:tc>
          <w:tcPr>
            <w:tcW w:w="0" w:type="dxa"/>
            <w:vAlign w:val="bottom"/>
          </w:tcPr>
          <w:p>
            <w:pPr>
              <w:spacing w:after="0"/>
              <w:rPr>
                <w:sz w:val="1"/>
                <w:szCs w:val="1"/>
                <w:color w:val="auto"/>
              </w:rPr>
            </w:pPr>
          </w:p>
        </w:tc>
      </w:tr>
      <w:tr>
        <w:trPr>
          <w:trHeight w:val="207"/>
        </w:trPr>
        <w:tc>
          <w:tcPr>
            <w:tcW w:w="85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(77,372,352)</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(68,334,381)</w:t>
            </w:r>
          </w:p>
        </w:tc>
        <w:tc>
          <w:tcPr>
            <w:tcW w:w="0" w:type="dxa"/>
            <w:vAlign w:val="bottom"/>
          </w:tcPr>
          <w:p>
            <w:pPr>
              <w:spacing w:after="0"/>
              <w:rPr>
                <w:sz w:val="1"/>
                <w:szCs w:val="1"/>
                <w:color w:val="auto"/>
              </w:rPr>
            </w:pPr>
          </w:p>
        </w:tc>
      </w:tr>
      <w:tr>
        <w:trPr>
          <w:trHeight w:val="211"/>
        </w:trPr>
        <w:tc>
          <w:tcPr>
            <w:tcW w:w="85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(8,806,126</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(4,033,406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5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4,248,108</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2,804,549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852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76"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1176020" cy="234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Serve Robotics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Operations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4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946,711</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40,252</w:t>
            </w:r>
          </w:p>
        </w:tc>
        <w:tc>
          <w:tcPr>
            <w:tcW w:w="0" w:type="dxa"/>
            <w:vAlign w:val="bottom"/>
          </w:tcPr>
          <w:p>
            <w:pPr>
              <w:spacing w:after="0"/>
              <w:rPr>
                <w:sz w:val="1"/>
                <w:szCs w:val="1"/>
                <w:color w:val="auto"/>
              </w:rPr>
            </w:pPr>
          </w:p>
        </w:tc>
      </w:tr>
      <w:tr>
        <w:trPr>
          <w:trHeight w:val="207"/>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352,438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367,261</w:t>
            </w:r>
          </w:p>
        </w:tc>
        <w:tc>
          <w:tcPr>
            <w:tcW w:w="0" w:type="dxa"/>
            <w:vAlign w:val="bottom"/>
          </w:tcPr>
          <w:p>
            <w:pPr>
              <w:spacing w:after="0"/>
              <w:rPr>
                <w:sz w:val="1"/>
                <w:szCs w:val="1"/>
                <w:color w:val="auto"/>
              </w:rPr>
            </w:pPr>
          </w:p>
        </w:tc>
      </w:tr>
      <w:tr>
        <w:trPr>
          <w:trHeight w:val="191"/>
        </w:trPr>
        <w:tc>
          <w:tcPr>
            <w:tcW w:w="4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w:t>
            </w:r>
          </w:p>
        </w:tc>
        <w:tc>
          <w:tcPr>
            <w:tcW w:w="38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594,273</w:t>
            </w: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(327,009)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1,008,071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1,015,987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3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540,974</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521,687</w:t>
            </w:r>
          </w:p>
        </w:tc>
        <w:tc>
          <w:tcPr>
            <w:tcW w:w="0" w:type="dxa"/>
            <w:vAlign w:val="bottom"/>
          </w:tcPr>
          <w:p>
            <w:pPr>
              <w:spacing w:after="0"/>
              <w:rPr>
                <w:sz w:val="1"/>
                <w:szCs w:val="1"/>
                <w:color w:val="auto"/>
              </w:rPr>
            </w:pPr>
          </w:p>
        </w:tc>
      </w:tr>
      <w:tr>
        <w:trPr>
          <w:trHeight w:val="191"/>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6,638,441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2,082,949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118,236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279,582</w:t>
            </w:r>
          </w:p>
        </w:tc>
        <w:tc>
          <w:tcPr>
            <w:tcW w:w="0" w:type="dxa"/>
            <w:vAlign w:val="bottom"/>
          </w:tcPr>
          <w:p>
            <w:pPr>
              <w:spacing w:after="0"/>
              <w:rPr>
                <w:sz w:val="1"/>
                <w:szCs w:val="1"/>
                <w:color w:val="auto"/>
              </w:rPr>
            </w:pPr>
          </w:p>
        </w:tc>
      </w:tr>
      <w:tr>
        <w:trPr>
          <w:trHeight w:val="175"/>
        </w:trPr>
        <w:tc>
          <w:tcPr>
            <w:tcW w:w="4880" w:type="dxa"/>
            <w:vAlign w:val="bottom"/>
            <w:tcBorders>
              <w:top w:val="single" w:sz="8" w:color="CCEEFF"/>
            </w:tcBorders>
          </w:tcPr>
          <w:p>
            <w:pPr>
              <w:ind w:left="280"/>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38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8,305,722</w:t>
            </w:r>
          </w:p>
        </w:tc>
        <w:tc>
          <w:tcPr>
            <w:tcW w:w="24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3,900,205</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(7,711,449)</w:t>
            </w: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(4,227,214)</w:t>
            </w: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3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(1,326,522)</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(41,744)</w:t>
            </w:r>
          </w:p>
        </w:tc>
        <w:tc>
          <w:tcPr>
            <w:tcW w:w="0" w:type="dxa"/>
            <w:vAlign w:val="bottom"/>
          </w:tcPr>
          <w:p>
            <w:pPr>
              <w:spacing w:after="0"/>
              <w:rPr>
                <w:sz w:val="1"/>
                <w:szCs w:val="1"/>
                <w:color w:val="auto"/>
              </w:rPr>
            </w:pPr>
          </w:p>
        </w:tc>
      </w:tr>
      <w:tr>
        <w:trPr>
          <w:trHeight w:val="207"/>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(869,164)</w:t>
            </w:r>
          </w:p>
        </w:tc>
        <w:tc>
          <w:tcPr>
            <w:tcW w:w="0" w:type="dxa"/>
            <w:vAlign w:val="bottom"/>
          </w:tcPr>
          <w:p>
            <w:pPr>
              <w:spacing w:after="0"/>
              <w:rPr>
                <w:sz w:val="1"/>
                <w:szCs w:val="1"/>
                <w:color w:val="auto"/>
              </w:rPr>
            </w:pPr>
          </w:p>
        </w:tc>
      </w:tr>
      <w:tr>
        <w:trPr>
          <w:trHeight w:val="191"/>
        </w:trPr>
        <w:tc>
          <w:tcPr>
            <w:tcW w:w="48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8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(1,326,522)</w:t>
            </w: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(910,908)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8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4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(9,037,971</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(5,138,122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7"/>
        </w:trPr>
        <w:tc>
          <w:tcPr>
            <w:tcW w:w="488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 and diluted</w:t>
            </w:r>
          </w:p>
        </w:tc>
        <w:tc>
          <w:tcPr>
            <w:tcW w:w="3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24,556,343</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6,708,450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 basic and diluted</w:t>
            </w:r>
          </w:p>
        </w:tc>
        <w:tc>
          <w:tcPr>
            <w:tcW w:w="3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4880" w:type="dxa"/>
            <w:vAlign w:val="bottom"/>
            <w:vMerge w:val="continue"/>
            <w:shd w:val="clear" w:color="auto" w:fill="CCEEFF"/>
          </w:tcPr>
          <w:p>
            <w:pPr>
              <w:spacing w:after="0"/>
              <w:rPr>
                <w:sz w:val="19"/>
                <w:szCs w:val="19"/>
                <w:color w:val="auto"/>
              </w:rPr>
            </w:pPr>
          </w:p>
        </w:tc>
        <w:tc>
          <w:tcPr>
            <w:tcW w:w="4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2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8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3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176020" cy="2349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Serve Robotics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Cash Flows (unaudited)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6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4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7"/>
        </w:trPr>
        <w:tc>
          <w:tcPr>
            <w:tcW w:w="66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191"/>
        </w:trPr>
        <w:tc>
          <w:tcPr>
            <w:tcW w:w="6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(9,037,971)</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(5,138,122)</w:t>
            </w:r>
          </w:p>
        </w:tc>
      </w:tr>
      <w:tr>
        <w:trPr>
          <w:trHeight w:val="191"/>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17,923</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465,640</w:t>
            </w:r>
          </w:p>
        </w:tc>
      </w:tr>
      <w:tr>
        <w:trPr>
          <w:trHeight w:val="191"/>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4,255,432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93,943</w:t>
            </w:r>
          </w:p>
        </w:tc>
      </w:tr>
      <w:tr>
        <w:trPr>
          <w:trHeight w:val="19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1,212,836</w:t>
            </w: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4,000</w:t>
            </w:r>
          </w:p>
        </w:tc>
      </w:tr>
      <w:tr>
        <w:trPr>
          <w:trHeight w:val="191"/>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simple agreements for future equity</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869,164</w:t>
            </w:r>
          </w:p>
        </w:tc>
      </w:tr>
      <w:tr>
        <w:trPr>
          <w:trHeight w:val="19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recourse loan</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3,987</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r>
      <w:tr>
        <w:trPr>
          <w:trHeight w:val="191"/>
        </w:trPr>
        <w:tc>
          <w:tcPr>
            <w:tcW w:w="6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(263,075)</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8,626</w:t>
            </w: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37,814</w:t>
            </w: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(4,704)</w:t>
            </w:r>
          </w:p>
        </w:tc>
      </w:tr>
      <w:tr>
        <w:trPr>
          <w:trHeight w:val="191"/>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47,359</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(33,643)</w:t>
            </w: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(325,541)</w:t>
            </w:r>
          </w:p>
        </w:tc>
        <w:tc>
          <w:tcPr>
            <w:tcW w:w="30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64,191</w:t>
            </w:r>
          </w:p>
        </w:tc>
      </w:tr>
      <w:tr>
        <w:trPr>
          <w:trHeight w:val="191"/>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liabilities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(82,168)</w:t>
            </w:r>
          </w:p>
        </w:tc>
        <w:tc>
          <w:tcPr>
            <w:tcW w:w="3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(30,239)</w:t>
            </w:r>
          </w:p>
        </w:tc>
      </w:tr>
      <w:tr>
        <w:trPr>
          <w:trHeight w:val="191"/>
        </w:trPr>
        <w:tc>
          <w:tcPr>
            <w:tcW w:w="6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68,899</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23"/>
        </w:trPr>
        <w:tc>
          <w:tcPr>
            <w:tcW w:w="66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Right of use liabilities, net</w:t>
            </w:r>
          </w:p>
        </w:tc>
        <w:tc>
          <w:tcPr>
            <w:tcW w:w="2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(13,875)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(11,063)</w:t>
            </w:r>
          </w:p>
        </w:tc>
      </w:tr>
      <w:tr>
        <w:trPr>
          <w:trHeight w:val="179"/>
        </w:trPr>
        <w:tc>
          <w:tcPr>
            <w:tcW w:w="6640" w:type="dxa"/>
            <w:vAlign w:val="bottom"/>
            <w:tcBorders>
              <w:top w:val="single" w:sz="8" w:color="CCEEFF"/>
              <w:bottom w:val="single" w:sz="8" w:color="CCEEFF"/>
            </w:tcBorders>
          </w:tcPr>
          <w:p>
            <w:pPr>
              <w:ind w:left="420"/>
              <w:spacing w:after="0" w:line="175" w:lineRule="exact"/>
              <w:rPr>
                <w:sz w:val="20"/>
                <w:szCs w:val="20"/>
                <w:color w:val="auto"/>
              </w:rPr>
            </w:pPr>
            <w:r>
              <w:rPr>
                <w:rFonts w:ascii="Times New Roman" w:cs="Times New Roman" w:eastAsia="Times New Roman" w:hAnsi="Times New Roman"/>
                <w:sz w:val="16"/>
                <w:szCs w:val="16"/>
                <w:color w:val="auto"/>
              </w:rPr>
              <w:t>Net cash used in operating activities</w:t>
            </w:r>
          </w:p>
        </w:tc>
        <w:tc>
          <w:tcPr>
            <w:tcW w:w="20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(4,078,380</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(3,713,409</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(3,340)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r>
      <w:tr>
        <w:trPr>
          <w:trHeight w:val="195"/>
        </w:trPr>
        <w:tc>
          <w:tcPr>
            <w:tcW w:w="6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4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60"/>
          </w:cols>
          <w:pgMar w:left="320" w:top="1423" w:right="319" w:bottom="1440" w:gutter="0" w:footer="0" w:header="0"/>
        </w:sectPr>
      </w:pPr>
    </w:p>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Proceeds from simple agreement for future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Proceeds from convertible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Exercise of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Repayments of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Repayments of notes payable, related party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Repayment of lease liability financing</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-105410</wp:posOffset>
            </wp:positionV>
            <wp:extent cx="7148195" cy="136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36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2,666,953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4,844,625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5,832</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1"/>
        </w:trPr>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(250,000)</w:t>
            </w:r>
          </w:p>
        </w:tc>
        <w:tc>
          <w:tcPr>
            <w:tcW w:w="24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(250,000)</w:t>
            </w:r>
          </w:p>
        </w:tc>
      </w:tr>
      <w:tr>
        <w:trPr>
          <w:trHeight w:val="191"/>
        </w:trPr>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4"/>
        </w:trPr>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(28,011)</w:t>
            </w:r>
          </w:p>
        </w:tc>
        <w:tc>
          <w:tcPr>
            <w:tcW w:w="24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(552,786)</w:t>
            </w:r>
          </w:p>
        </w:tc>
      </w:tr>
      <w:tr>
        <w:trPr>
          <w:trHeight w:val="195"/>
        </w:trPr>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4,502,446</w:t>
            </w: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1,864,167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7"/>
        </w:trPr>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420,726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(1,849,242)</w:t>
            </w:r>
          </w:p>
        </w:tc>
        <w:tc>
          <w:tcPr>
            <w:tcW w:w="60" w:type="dxa"/>
            <w:vAlign w:val="bottom"/>
            <w:gridSpan w:val="2"/>
          </w:tcPr>
          <w:p>
            <w:pPr>
              <w:spacing w:after="0"/>
              <w:rPr>
                <w:sz w:val="16"/>
                <w:szCs w:val="16"/>
                <w:color w:val="auto"/>
              </w:rPr>
            </w:pPr>
          </w:p>
        </w:tc>
      </w:tr>
      <w:tr>
        <w:trPr>
          <w:trHeight w:val="208"/>
        </w:trPr>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6,756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2,715,719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
        </w:trPr>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9"/>
        </w:trPr>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427,482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866,477</w:t>
            </w:r>
          </w:p>
        </w:tc>
        <w:tc>
          <w:tcPr>
            <w:tcW w:w="40" w:type="dxa"/>
            <w:vAlign w:val="bottom"/>
          </w:tcPr>
          <w:p>
            <w:pPr>
              <w:spacing w:after="0"/>
              <w:rPr>
                <w:sz w:val="19"/>
                <w:szCs w:val="19"/>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80"/>
          </w:cols>
          <w:pgMar w:left="320" w:top="1423"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1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9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191"/>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8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35,892</w:t>
            </w:r>
          </w:p>
        </w:tc>
        <w:tc>
          <w:tcPr>
            <w:tcW w:w="5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40,630</w:t>
            </w:r>
          </w:p>
        </w:tc>
      </w:tr>
      <w:tr>
        <w:trPr>
          <w:trHeight w:val="191"/>
        </w:trPr>
        <w:tc>
          <w:tcPr>
            <w:tcW w:w="5180" w:type="dxa"/>
            <w:vAlign w:val="bottom"/>
            <w:shd w:val="clear" w:color="auto" w:fill="CCEEFF"/>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91"/>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8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restricted stock purchased with recourse notes</w:t>
            </w:r>
          </w:p>
        </w:tc>
        <w:tc>
          <w:tcPr>
            <w:tcW w:w="38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3,436</w:t>
            </w:r>
          </w:p>
        </w:tc>
      </w:tr>
      <w:tr>
        <w:trPr>
          <w:trHeight w:val="208"/>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Deferred offering costs included in accounts payable</w:t>
            </w:r>
          </w:p>
        </w:tc>
        <w:tc>
          <w:tcPr>
            <w:tcW w:w="38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973,491</w:t>
            </w:r>
          </w:p>
        </w:tc>
        <w:tc>
          <w:tcPr>
            <w:tcW w:w="50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561"/>
        </w:trPr>
        <w:tc>
          <w:tcPr>
            <w:tcW w:w="51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3280"/>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1423" w:right="3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1176020" cy="234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76020" cy="234950"/>
                    </a:xfrm>
                    <a:prstGeom prst="rect">
                      <a:avLst/>
                    </a:prstGeom>
                    <a:noFill/>
                  </pic:spPr>
                </pic:pic>
              </a:graphicData>
            </a:graphic>
          </wp:anchor>
        </w:drawing>
        <w:t>About Serve Robotics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Backed by Uber and NVIDIA, Serve Robotics develops advanced, AI-powered, low-emissions sidewalk delivery robots that endeavor to make delivery sustainable and economical. Spun off from Uber in 2021 as an independent company, Serve has completed tens of thousands of deliveries for enterprise partners such as Uber Eats and 7-Eleven. Serve has scalable multi-year contracts, including a signed agreement to deploy up to 2,000 delivery robots on the Uber Eats platform across multiple U.S. markets.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Aduke Thelwell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Communications &amp; Investor Relations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Serve Robotics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aduke.thelwell@serverobotics.com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347-464-8510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CORE IR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investor.relations@serverobotics.com</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0" w:name="page11"/>
    <w:bookmarkEnd w:id="10"/>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2024-05-15T06:36:06Z</dcterms:created>
  <dcterms:modified xsi:type="dcterms:W3CDTF">2024-05-15T06:36:06Z</dcterms:modified>
</cp:coreProperties>
</file>