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Serve Robotics Inc. /DE/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81758H106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Prashanth Mahendra-Rajah</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Uber Technologies, Inc., 1725 3rd Street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San Francisco, CA, 94158</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415-612-8582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81758H106</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Uber Technologies,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59"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2,070,629.00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2,070,629.00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2,070,629.00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3.36 %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Note for Lines (7), (9), and (11) - Consists of 2,070,629 shares of common stock, par value $0.0001 per share (the</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"common stock"), of Serve Robotics Inc. (the "Issuer") that are beneficially owned by Uber Technologies, Inc. through</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Postmates, LLC, a wholly-owned subsidiary of Uber Technologies, Inc. Note for Line (13) - The percent of class</w:t>
            </w:r>
          </w:p>
        </w:tc>
      </w:tr>
    </w:tbl>
    <w:p>
      <w:pPr>
        <w:jc w:val="both"/>
        <w:spacing w:after="0" w:line="201" w:lineRule="auto"/>
        <w:rPr>
          <w:sz w:val="20"/>
          <w:szCs w:val="20"/>
          <w:color w:val="auto"/>
        </w:rPr>
      </w:pPr>
      <w:r>
        <w:rPr>
          <w:rFonts w:ascii="Times New Roman" w:cs="Times New Roman" w:eastAsia="Times New Roman" w:hAnsi="Times New Roman"/>
          <w:sz w:val="34"/>
          <w:szCs w:val="34"/>
          <w:b w:val="1"/>
          <w:bCs w:val="1"/>
          <w:color w:val="auto"/>
          <w:vertAlign w:val="superscript"/>
        </w:rPr>
        <w:t>Reporting</w:t>
      </w:r>
      <w:r>
        <w:rPr>
          <w:rFonts w:ascii="Times New Roman" w:cs="Times New Roman" w:eastAsia="Times New Roman" w:hAnsi="Times New Roman"/>
          <w:sz w:val="20"/>
          <w:szCs w:val="20"/>
          <w:color w:val="auto"/>
        </w:rPr>
        <w:t xml:space="preserve"> beneficially owned by the Reporting Person was calculated assuming 61,577,800 shares of common stock issued and </w:t>
      </w:r>
      <w:r>
        <w:rPr>
          <w:rFonts w:ascii="Times New Roman" w:cs="Times New Roman" w:eastAsia="Times New Roman" w:hAnsi="Times New Roman"/>
          <w:sz w:val="34"/>
          <w:szCs w:val="34"/>
          <w:b w:val="1"/>
          <w:bCs w:val="1"/>
          <w:color w:val="auto"/>
          <w:vertAlign w:val="superscript"/>
        </w:rPr>
        <w:t>Person:</w:t>
      </w:r>
      <w:r>
        <w:rPr>
          <w:rFonts w:ascii="Times New Roman" w:cs="Times New Roman" w:eastAsia="Times New Roman" w:hAnsi="Times New Roman"/>
          <w:sz w:val="20"/>
          <w:szCs w:val="20"/>
          <w:color w:val="auto"/>
        </w:rPr>
        <w:t xml:space="preserve"> outstanding based on (i) 59,881,731 shares of common stock issued and outstanding as of August 5, 2025, as described</w:t>
      </w:r>
    </w:p>
    <w:p>
      <w:pPr>
        <w:spacing w:after="0" w:line="1"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in the Issuer's report on Form 10-Q for the fiscal quarter ended June 30, 2025, as filed with the Securities and Exchange Commission (the "SEC"), plus (ii) 1,696,069 additional shares issued in the Issuer's acquisition of Vayu Robotics, Inc. that closed on August 15, 2025, as disclosed in the Issuer's Current Report on Form 8-K filed with the SEC on August 18, 2025. This Amendment No. 1 amends and supplements the Schedule 13D relating to the shares of common stock of the Issuer (the "Schedule 13D") filed with the SEC on May 8, 2024. Information reported in the Schedule 13D remains in effect except to the extent amended or superseded by information contained in this Amendment No. 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Serve Robotics Inc. /DE/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730 Broadway, Redwood City, CALIFORNIA , 94063.</w:t>
      </w:r>
    </w:p>
    <w:p>
      <w:pPr>
        <w:sectPr>
          <w:pgSz w:w="11900" w:h="16898" w:orient="portrait"/>
          <w:cols w:equalWidth="0" w:num="1">
            <w:col w:w="11240"/>
          </w:cols>
          <w:pgMar w:left="320" w:top="126" w:right="339" w:bottom="0" w:gutter="0" w:footer="0" w:header="0"/>
        </w:sectPr>
      </w:pPr>
    </w:p>
    <w:bookmarkStart w:id="2" w:name="page3"/>
    <w:bookmarkEnd w:id="2"/>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right="160"/>
        <w:spacing w:after="0" w:line="247" w:lineRule="auto"/>
        <w:rPr>
          <w:sz w:val="20"/>
          <w:szCs w:val="20"/>
          <w:color w:val="auto"/>
        </w:rPr>
      </w:pPr>
      <w:r>
        <w:rPr>
          <w:rFonts w:ascii="Times New Roman" w:cs="Times New Roman" w:eastAsia="Times New Roman" w:hAnsi="Times New Roman"/>
          <w:sz w:val="21"/>
          <w:szCs w:val="21"/>
          <w:color w:val="auto"/>
        </w:rPr>
        <w:t>This Statement is being filed by Uber Technologies, Inc. (the "Reporting Person" or "Uber"), a publicly traded Delaware corporation, because the Reporting Person beneficially owns 2,070,629 shares of common stock of the Issuer through Postmates, LLC, a wholly-owned subsidiary of the Reporting Person. The principal business of the Reporting Person is the operation and continued development of a technology platform that uses a massive network,</w:t>
      </w:r>
    </w:p>
    <w:p>
      <w:pPr>
        <w:spacing w:after="0" w:line="2" w:lineRule="exact"/>
        <w:rPr>
          <w:sz w:val="20"/>
          <w:szCs w:val="20"/>
          <w:color w:val="auto"/>
        </w:rPr>
      </w:pPr>
    </w:p>
    <w:p>
      <w:pPr>
        <w:ind w:left="940" w:right="140" w:hanging="932"/>
        <w:spacing w:after="0" w:line="233"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leading technology, operational excellence and product expertise to power movement from point A to point B. The business address of the Reporting Person is 1725 3rd Street, San Francisco, CA 94158. Set forth on Schedule I, filed as Exhibit 99.1 hereto ("Schedule I"), which is incorporated herein by reference, is the name, business address and principal occupation or employment and citizenship of each of the Reporting Person's directors and executive officers.</w:t>
      </w:r>
    </w:p>
    <w:p>
      <w:pPr>
        <w:spacing w:after="0" w:line="17"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 above.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2(a) above.</w:t>
      </w:r>
    </w:p>
    <w:p>
      <w:pPr>
        <w:spacing w:after="0" w:line="44" w:lineRule="exact"/>
        <w:rPr>
          <w:rFonts w:ascii="Times New Roman" w:cs="Times New Roman" w:eastAsia="Times New Roman" w:hAnsi="Times New Roman"/>
          <w:sz w:val="22"/>
          <w:szCs w:val="22"/>
          <w:color w:val="auto"/>
        </w:rPr>
      </w:pP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last five years, neither the Reporting Person nor, to the best knowledge of the Reporting Person, any</w:t>
      </w:r>
    </w:p>
    <w:p>
      <w:pPr>
        <w:spacing w:after="0" w:line="14" w:lineRule="exact"/>
        <w:rPr>
          <w:rFonts w:ascii="Times New Roman" w:cs="Times New Roman" w:eastAsia="Times New Roman" w:hAnsi="Times New Roman"/>
          <w:sz w:val="22"/>
          <w:szCs w:val="22"/>
          <w:color w:val="auto"/>
        </w:rPr>
      </w:pPr>
    </w:p>
    <w:p>
      <w:pPr>
        <w:ind w:left="940" w:right="540" w:hanging="932"/>
        <w:spacing w:after="0" w:line="237"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named in Schedule I, has been convicted in a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ind w:left="940" w:right="18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past five years, neither the Reporting Person nor, to the best knowledge of the Reporting Person, any person named in Schedule I, has been a party to a civil proceeding of a judicial or administrative body of competent</w:t>
      </w:r>
    </w:p>
    <w:p>
      <w:pPr>
        <w:jc w:val="both"/>
        <w:ind w:left="940" w:right="500" w:hanging="932"/>
        <w:spacing w:after="0" w:line="235"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jurisdiction and as a result of such proceeding such person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citizenship of each of the individuals referred to in Schedule I is set forth on Schedule I.</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jc w:val="both"/>
        <w:ind w:left="940" w:right="100"/>
        <w:spacing w:after="0" w:line="249" w:lineRule="auto"/>
        <w:rPr>
          <w:sz w:val="20"/>
          <w:szCs w:val="20"/>
          <w:color w:val="auto"/>
        </w:rPr>
      </w:pPr>
      <w:r>
        <w:rPr>
          <w:rFonts w:ascii="Times New Roman" w:cs="Times New Roman" w:eastAsia="Times New Roman" w:hAnsi="Times New Roman"/>
          <w:sz w:val="21"/>
          <w:szCs w:val="21"/>
          <w:color w:val="auto"/>
        </w:rPr>
        <w:t>The Reporting Person is the beneficial owner of 2,070,629 shares of common stock, which represent approximately 3.36% of the outstanding shares of common stock as of August 18, 2025. The percent of common stock beneficially owned by the Reporting Person was calculated assuming 61,577,800 shares of common stock issued and outstanding</w:t>
      </w:r>
    </w:p>
    <w:p>
      <w:pPr>
        <w:spacing w:after="0" w:line="1" w:lineRule="exact"/>
        <w:rPr>
          <w:sz w:val="20"/>
          <w:szCs w:val="20"/>
          <w:color w:val="auto"/>
        </w:rPr>
      </w:pPr>
    </w:p>
    <w:p>
      <w:pPr>
        <w:ind w:left="940" w:right="40" w:hanging="932"/>
        <w:spacing w:after="0" w:line="196" w:lineRule="auto"/>
        <w:tabs>
          <w:tab w:leader="none" w:pos="94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based on (i) 59,881,731 shares of common stock issued and outstanding as of August 5, 2025, as described in the Issuer's report on Form 10-Q for the fiscal quarter ended June 30, 2025, as filed with the SEC, plus (ii) 1,696,069 additional shares issued in the Issuer's acquisition of Vayu Robotics, Inc. that closed on August 15, 2025, as disclosed in the Issuer's Current Report on Form 8-K filed with the SEC on August 18, 2025. None of the persons named in Schedule I beneficially own any shares of common stock.</w:t>
      </w:r>
    </w:p>
    <w:p>
      <w:pPr>
        <w:spacing w:after="0" w:line="14" w:lineRule="exact"/>
        <w:rPr>
          <w:rFonts w:ascii="Times New Roman" w:cs="Times New Roman" w:eastAsia="Times New Roman" w:hAnsi="Times New Roman"/>
          <w:sz w:val="43"/>
          <w:szCs w:val="43"/>
          <w:color w:val="auto"/>
          <w:vertAlign w:val="subscript"/>
        </w:rPr>
      </w:pPr>
    </w:p>
    <w:p>
      <w:pPr>
        <w:ind w:left="94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Reporting Person has sole voting and sole dispositive power over an aggregate of 2,070,629 shares of common</w:t>
      </w:r>
    </w:p>
    <w:p>
      <w:pPr>
        <w:spacing w:after="0" w:line="14" w:lineRule="exact"/>
        <w:rPr>
          <w:rFonts w:ascii="Times New Roman" w:cs="Times New Roman" w:eastAsia="Times New Roman" w:hAnsi="Times New Roman"/>
          <w:sz w:val="43"/>
          <w:szCs w:val="43"/>
          <w:color w:val="auto"/>
          <w:vertAlign w:val="subscript"/>
        </w:rPr>
      </w:pPr>
    </w:p>
    <w:p>
      <w:pPr>
        <w:ind w:left="940" w:right="40" w:hanging="932"/>
        <w:spacing w:after="0" w:line="23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The Reporting Person's shares of common stock represent approximately 3.36% of the voting power of Issuer's outstanding capital stock as of August 18, 2025.</w:t>
      </w:r>
    </w:p>
    <w:p>
      <w:pPr>
        <w:spacing w:after="0" w:line="16" w:lineRule="exact"/>
        <w:rPr>
          <w:rFonts w:ascii="Times New Roman" w:cs="Times New Roman" w:eastAsia="Times New Roman" w:hAnsi="Times New Roman"/>
          <w:sz w:val="22"/>
          <w:szCs w:val="22"/>
          <w:color w:val="auto"/>
        </w:rPr>
      </w:pPr>
    </w:p>
    <w:p>
      <w:pPr>
        <w:ind w:left="940" w:right="22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On September 19, 2025, the Reporting Person (through Postmates) sold 1,215,048 shares of its holdings in the Issuer's common stock at an average price per share of $14.1405 in open market transactions. On September 22, 2025, the Reporting Person (through Postmates) sold 456,284 shares of its holdings in the Issuer's common stock at</w:t>
      </w:r>
    </w:p>
    <w:p>
      <w:pPr>
        <w:spacing w:after="0" w:line="1" w:lineRule="exact"/>
        <w:rPr>
          <w:rFonts w:ascii="Times New Roman" w:cs="Times New Roman" w:eastAsia="Times New Roman" w:hAnsi="Times New Roman"/>
          <w:sz w:val="22"/>
          <w:szCs w:val="22"/>
          <w:color w:val="auto"/>
        </w:rPr>
      </w:pPr>
    </w:p>
    <w:p>
      <w:pPr>
        <w:ind w:left="940" w:right="160" w:hanging="932"/>
        <w:spacing w:after="0" w:line="196" w:lineRule="auto"/>
        <w:tabs>
          <w:tab w:leader="none" w:pos="94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an average price per share of $14.0076 in open market transactions. On September 23, 2025, the Reporting Person (through Postmates) sold 1,006,872 shares of its holdings in the Issuer's common stock at an average price per share of $14.0471 in open market transactions. Other than the foregoing, the Reporting Person and, to the best knowledge of the Reporting Person, the directors and executive officers of the Reporting Person have not effected any other transactions in the shares of the Issuer during the past 60 days.</w:t>
      </w:r>
    </w:p>
    <w:p>
      <w:pPr>
        <w:spacing w:after="0" w:line="14" w:lineRule="exact"/>
        <w:rPr>
          <w:rFonts w:ascii="Times New Roman" w:cs="Times New Roman" w:eastAsia="Times New Roman" w:hAnsi="Times New Roman"/>
          <w:sz w:val="43"/>
          <w:szCs w:val="43"/>
          <w:color w:val="auto"/>
          <w:vertAlign w:val="subscript"/>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change.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change.</w:t>
      </w:r>
    </w:p>
    <w:p>
      <w:pPr>
        <w:spacing w:after="0" w:line="44" w:lineRule="exact"/>
        <w:rPr>
          <w:sz w:val="20"/>
          <w:szCs w:val="20"/>
          <w:color w:val="auto"/>
        </w:rPr>
      </w:pPr>
    </w:p>
    <w:p>
      <w:pPr>
        <w:jc w:val="center"/>
        <w:ind w:right="7420"/>
        <w:spacing w:after="0"/>
        <w:tabs>
          <w:tab w:leader="none" w:pos="3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jc w:val="center"/>
        <w:ind w:right="7440"/>
        <w:spacing w:after="0"/>
        <w:rPr>
          <w:sz w:val="20"/>
          <w:szCs w:val="20"/>
          <w:color w:val="auto"/>
        </w:rPr>
      </w:pPr>
      <w:r>
        <w:rPr>
          <w:rFonts w:ascii="Times New Roman" w:cs="Times New Roman" w:eastAsia="Times New Roman" w:hAnsi="Times New Roman"/>
          <w:sz w:val="22"/>
          <w:szCs w:val="22"/>
          <w:color w:val="auto"/>
        </w:rPr>
        <w:t>EX-99.1 - Schedule I</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Uber Technologies, Inc.</w:t>
      </w:r>
    </w:p>
    <w:p>
      <w:pPr>
        <w:spacing w:after="0" w:line="152"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Prashanth Mahendra-Rajah</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Name/Title: Chief Financial Officer</w:t>
      </w:r>
    </w:p>
    <w:p>
      <w:pPr>
        <w:spacing w:after="0" w:line="44"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09/23/2025</w:t>
      </w:r>
    </w:p>
    <w:p>
      <w:pPr>
        <w:sectPr>
          <w:pgSz w:w="11900" w:h="16838" w:orient="portrait"/>
          <w:cols w:equalWidth="0" w:num="1">
            <w:col w:w="11140"/>
          </w:cols>
          <w:pgMar w:left="360" w:top="139" w:right="3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business address of each director and executive officer is c/o Uber Technologies, Inc., 1725 3rd Street San Francisco, CA 94158. Unless otherwise indicated, each director and executive officer is a citizen of the United States.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88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PRESENT PRINCIPAL OCCUPATION OR EMPLOYMENT</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r>
        <w:trPr>
          <w:trHeight w:val="237"/>
        </w:trPr>
        <w:tc>
          <w:tcPr>
            <w:tcW w:w="2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Dara Khosrowshahi</w:t>
            </w:r>
          </w:p>
        </w:tc>
        <w:tc>
          <w:tcPr>
            <w:tcW w:w="8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Chief Executive Officer and Director of Uber Technologies, Inc.</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r>
        <w:trPr>
          <w:trHeight w:val="304"/>
        </w:trPr>
        <w:tc>
          <w:tcPr>
            <w:tcW w:w="2400" w:type="dxa"/>
            <w:vAlign w:val="bottom"/>
            <w:tcBorders>
              <w:left w:val="single" w:sz="8" w:color="auto"/>
              <w:bottom w:val="single" w:sz="8" w:color="auto"/>
              <w:right w:val="single" w:sz="8" w:color="auto"/>
            </w:tcBorders>
          </w:tcPr>
          <w:p>
            <w:pPr>
              <w:ind w:left="80"/>
              <w:spacing w:after="0" w:line="303" w:lineRule="exact"/>
              <w:rPr>
                <w:sz w:val="20"/>
                <w:szCs w:val="20"/>
                <w:color w:val="auto"/>
              </w:rPr>
            </w:pPr>
            <w:r>
              <w:rPr>
                <w:rFonts w:ascii="Times New Roman" w:cs="Times New Roman" w:eastAsia="Times New Roman" w:hAnsi="Times New Roman"/>
                <w:sz w:val="18"/>
                <w:szCs w:val="18"/>
                <w:color w:val="auto"/>
              </w:rPr>
              <w:t>Andrew Macdonald</w:t>
            </w:r>
            <w:r>
              <w:rPr>
                <w:rFonts w:ascii="Times New Roman" w:cs="Times New Roman" w:eastAsia="Times New Roman" w:hAnsi="Times New Roman"/>
                <w:sz w:val="29"/>
                <w:szCs w:val="29"/>
                <w:color w:val="auto"/>
                <w:vertAlign w:val="superscript"/>
              </w:rPr>
              <w:t>(1)</w:t>
            </w:r>
          </w:p>
        </w:tc>
        <w:tc>
          <w:tcPr>
            <w:tcW w:w="8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President and Chief Operating Officer of Uber Technologies, Inc.</w:t>
            </w:r>
          </w:p>
        </w:tc>
      </w:tr>
      <w:tr>
        <w:trPr>
          <w:trHeight w:val="237"/>
        </w:trPr>
        <w:tc>
          <w:tcPr>
            <w:tcW w:w="2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Prashanth Mahendra-Rajah</w:t>
            </w:r>
          </w:p>
        </w:tc>
        <w:tc>
          <w:tcPr>
            <w:tcW w:w="8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Chief Financial Officer of Uber Technologies, Inc.</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r>
        <w:trPr>
          <w:trHeight w:val="236"/>
        </w:trPr>
        <w:tc>
          <w:tcPr>
            <w:tcW w:w="2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Tony West</w:t>
            </w:r>
          </w:p>
        </w:tc>
        <w:tc>
          <w:tcPr>
            <w:tcW w:w="8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Senior Vice President, Chief Legal Officer and Corporate Secretary of Uber Technologies, Inc.</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r>
        <w:trPr>
          <w:trHeight w:val="237"/>
        </w:trPr>
        <w:tc>
          <w:tcPr>
            <w:tcW w:w="2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Nikki Krishnamurthy</w:t>
            </w:r>
          </w:p>
        </w:tc>
        <w:tc>
          <w:tcPr>
            <w:tcW w:w="8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Senior Vice President and Chief People Officer of Uber Technologies, Inc.</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r>
        <w:trPr>
          <w:trHeight w:val="237"/>
        </w:trPr>
        <w:tc>
          <w:tcPr>
            <w:tcW w:w="2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Jill Hazelbaker</w:t>
            </w:r>
          </w:p>
        </w:tc>
        <w:tc>
          <w:tcPr>
            <w:tcW w:w="8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Chief Marketing Officer and Senior Vice President, Public Affairs of Uber Technologies, Inc.</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r>
        <w:trPr>
          <w:trHeight w:val="237"/>
        </w:trPr>
        <w:tc>
          <w:tcPr>
            <w:tcW w:w="2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Ronald Sugar</w:t>
            </w:r>
          </w:p>
        </w:tc>
        <w:tc>
          <w:tcPr>
            <w:tcW w:w="8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Former Chairman and CEO, Northrop Grumman</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r>
        <w:trPr>
          <w:trHeight w:val="237"/>
        </w:trPr>
        <w:tc>
          <w:tcPr>
            <w:tcW w:w="2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Revathi Advaithi</w:t>
            </w:r>
          </w:p>
        </w:tc>
        <w:tc>
          <w:tcPr>
            <w:tcW w:w="8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CEO of Flex Ltd.</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r>
        <w:trPr>
          <w:trHeight w:val="304"/>
        </w:trPr>
        <w:tc>
          <w:tcPr>
            <w:tcW w:w="2400" w:type="dxa"/>
            <w:vAlign w:val="bottom"/>
            <w:tcBorders>
              <w:left w:val="single" w:sz="8" w:color="auto"/>
              <w:bottom w:val="single" w:sz="8" w:color="auto"/>
              <w:right w:val="single" w:sz="8" w:color="auto"/>
            </w:tcBorders>
          </w:tcPr>
          <w:p>
            <w:pPr>
              <w:ind w:left="80"/>
              <w:spacing w:after="0" w:line="303" w:lineRule="exact"/>
              <w:rPr>
                <w:sz w:val="20"/>
                <w:szCs w:val="20"/>
                <w:color w:val="auto"/>
              </w:rPr>
            </w:pPr>
            <w:r>
              <w:rPr>
                <w:rFonts w:ascii="Times New Roman" w:cs="Times New Roman" w:eastAsia="Times New Roman" w:hAnsi="Times New Roman"/>
                <w:sz w:val="18"/>
                <w:szCs w:val="18"/>
                <w:color w:val="auto"/>
              </w:rPr>
              <w:t>Turqi Alnowaiser</w:t>
            </w:r>
            <w:r>
              <w:rPr>
                <w:rFonts w:ascii="Times New Roman" w:cs="Times New Roman" w:eastAsia="Times New Roman" w:hAnsi="Times New Roman"/>
                <w:sz w:val="29"/>
                <w:szCs w:val="29"/>
                <w:color w:val="auto"/>
                <w:vertAlign w:val="superscript"/>
              </w:rPr>
              <w:t>(2)</w:t>
            </w:r>
          </w:p>
        </w:tc>
        <w:tc>
          <w:tcPr>
            <w:tcW w:w="8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Deputy Governor and Head of International Investments Division of The Public Investment Fund</w:t>
            </w:r>
          </w:p>
        </w:tc>
      </w:tr>
      <w:tr>
        <w:trPr>
          <w:trHeight w:val="237"/>
        </w:trPr>
        <w:tc>
          <w:tcPr>
            <w:tcW w:w="2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Nikesh Arora</w:t>
            </w:r>
          </w:p>
        </w:tc>
        <w:tc>
          <w:tcPr>
            <w:tcW w:w="8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CEO of Palo Alto Networks</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r>
        <w:trPr>
          <w:trHeight w:val="237"/>
        </w:trPr>
        <w:tc>
          <w:tcPr>
            <w:tcW w:w="2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Ursula Burns</w:t>
            </w:r>
          </w:p>
        </w:tc>
        <w:tc>
          <w:tcPr>
            <w:tcW w:w="8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Co-founder of Integrum Holdings, LP</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r>
        <w:trPr>
          <w:trHeight w:val="236"/>
        </w:trPr>
        <w:tc>
          <w:tcPr>
            <w:tcW w:w="2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Robert Eckert</w:t>
            </w:r>
          </w:p>
        </w:tc>
        <w:tc>
          <w:tcPr>
            <w:tcW w:w="8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Operating Partner of FFL Partners, LLC</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r>
        <w:trPr>
          <w:trHeight w:val="237"/>
        </w:trPr>
        <w:tc>
          <w:tcPr>
            <w:tcW w:w="2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Amanda Ginsberg</w:t>
            </w:r>
          </w:p>
        </w:tc>
        <w:tc>
          <w:tcPr>
            <w:tcW w:w="8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Operating Partner of Advent International</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r>
        <w:trPr>
          <w:trHeight w:val="237"/>
        </w:trPr>
        <w:tc>
          <w:tcPr>
            <w:tcW w:w="2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John Thain</w:t>
            </w:r>
          </w:p>
        </w:tc>
        <w:tc>
          <w:tcPr>
            <w:tcW w:w="8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Founding Partner of Pine Island Capital Partners LLC</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r>
        <w:trPr>
          <w:trHeight w:val="237"/>
        </w:trPr>
        <w:tc>
          <w:tcPr>
            <w:tcW w:w="24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David Trujillo</w:t>
            </w:r>
          </w:p>
        </w:tc>
        <w:tc>
          <w:tcPr>
            <w:tcW w:w="88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Partner, TPG</w:t>
            </w:r>
          </w:p>
        </w:tc>
      </w:tr>
      <w:tr>
        <w:trPr>
          <w:trHeight w:val="27"/>
        </w:trPr>
        <w:tc>
          <w:tcPr>
            <w:tcW w:w="240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r>
        <w:trPr>
          <w:trHeight w:val="304"/>
        </w:trPr>
        <w:tc>
          <w:tcPr>
            <w:tcW w:w="2400" w:type="dxa"/>
            <w:vAlign w:val="bottom"/>
            <w:tcBorders>
              <w:left w:val="single" w:sz="8" w:color="auto"/>
              <w:bottom w:val="single" w:sz="8" w:color="auto"/>
              <w:right w:val="single" w:sz="8" w:color="auto"/>
            </w:tcBorders>
          </w:tcPr>
          <w:p>
            <w:pPr>
              <w:ind w:left="80"/>
              <w:spacing w:after="0" w:line="303" w:lineRule="exact"/>
              <w:rPr>
                <w:sz w:val="20"/>
                <w:szCs w:val="20"/>
                <w:color w:val="auto"/>
              </w:rPr>
            </w:pPr>
            <w:r>
              <w:rPr>
                <w:rFonts w:ascii="Times New Roman" w:cs="Times New Roman" w:eastAsia="Times New Roman" w:hAnsi="Times New Roman"/>
                <w:sz w:val="18"/>
                <w:szCs w:val="18"/>
                <w:color w:val="auto"/>
              </w:rPr>
              <w:t>Alexander Wynaendts</w:t>
            </w:r>
            <w:r>
              <w:rPr>
                <w:rFonts w:ascii="Times New Roman" w:cs="Times New Roman" w:eastAsia="Times New Roman" w:hAnsi="Times New Roman"/>
                <w:sz w:val="29"/>
                <w:szCs w:val="29"/>
                <w:color w:val="auto"/>
                <w:vertAlign w:val="superscript"/>
              </w:rPr>
              <w:t>(3)</w:t>
            </w:r>
          </w:p>
        </w:tc>
        <w:tc>
          <w:tcPr>
            <w:tcW w:w="88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Former CEO and Chairman, Aegon NV</w:t>
            </w:r>
          </w:p>
        </w:tc>
      </w:tr>
    </w:tbl>
    <w:p>
      <w:pPr>
        <w:spacing w:after="0" w:line="198"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Macdonald is a citizen of Canada.</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Alnowaiser is a citizen of the Kingdom of Saudi Arabia.</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Wynaendts is a citizen of the 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60"/>
      </w:cols>
      <w:pgMar w:left="320" w:top="36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2025-09-23T20:06:19Z</dcterms:created>
  <dcterms:modified xsi:type="dcterms:W3CDTF">2025-09-23T20:06:19Z</dcterms:modified>
</cp:coreProperties>
</file>