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pPr>
      <w:r>
        <w:rPr>
          <w:rFonts w:ascii="Times New Roman;serif" w:hAnsi="Times New Roman;serif"/>
          <w:b/>
          <w:color w:val="000000"/>
          <w:sz w:val="20"/>
        </w:rPr>
        <w:t>F</w:t>
      </w:r>
      <w:r>
        <w:rPr>
          <w:rFonts w:ascii="Times New Roman;serif" w:hAnsi="Times New Roman;serif"/>
          <w:b/>
          <w:color w:val="000000"/>
          <w:sz w:val="16"/>
        </w:rPr>
        <w:t>ORM</w:t>
      </w:r>
      <w:r>
        <w:rPr>
          <w:color w:val="000000"/>
        </w:rPr>
        <w:t xml:space="preserve"> </w:t>
      </w:r>
      <w:r>
        <w:rPr>
          <w:rFonts w:ascii="Times New Roman;serif" w:hAnsi="Times New Roman;serif"/>
          <w:b/>
          <w:color w:val="000000"/>
          <w:sz w:val="20"/>
        </w:rPr>
        <w:t>10-Q</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pPr>
      <w:r>
        <w:rPr>
          <w:rFonts w:ascii="Wingdings;sans-serif" w:hAnsi="Wingdings;sans-serif"/>
          <w:b/>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40" w:after="283"/>
        <w:jc w:val="center"/>
        <w:rPr/>
      </w:pPr>
      <w:r>
        <w:rPr>
          <w:rFonts w:ascii="Wingdings;sans-serif" w:hAnsi="Wingdings;sans-serif"/>
          <w:b/>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001-42023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012" w:type="dxa"/>
        <w:jc w:val="left"/>
        <w:tblInd w:w="0" w:type="dxa"/>
        <w:tblLayout w:type="fixed"/>
        <w:tblCellMar>
          <w:top w:w="28" w:type="dxa"/>
          <w:left w:w="28" w:type="dxa"/>
          <w:bottom w:w="28" w:type="dxa"/>
          <w:right w:w="28" w:type="dxa"/>
        </w:tblCellMar>
      </w:tblPr>
      <w:tblGrid>
        <w:gridCol w:w="1531"/>
        <w:gridCol w:w="1343"/>
        <w:gridCol w:w="1356"/>
        <w:gridCol w:w="109"/>
        <w:gridCol w:w="109"/>
        <w:gridCol w:w="109"/>
        <w:gridCol w:w="1301"/>
        <w:gridCol w:w="1301"/>
        <w:gridCol w:w="1853"/>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85-3844872</w:t>
            </w:r>
          </w:p>
        </w:tc>
      </w:tr>
      <w:tr>
        <w:trPr/>
        <w:tc>
          <w:tcPr>
            <w:tcW w:w="42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Identification No.)</w:t>
            </w:r>
          </w:p>
        </w:tc>
      </w:tr>
      <w:tr>
        <w:trPr/>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4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730 Broadway</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Redwood City, CA 94063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(818) 860-1352</w:t>
            </w:r>
          </w:p>
        </w:tc>
      </w:tr>
      <w:tr>
        <w:trPr/>
        <w:tc>
          <w:tcPr>
            <w:tcW w:w="42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6" w:type="dxa"/>
        <w:jc w:val="left"/>
        <w:tblInd w:w="0" w:type="dxa"/>
        <w:tblLayout w:type="fixed"/>
        <w:tblCellMar>
          <w:top w:w="28" w:type="dxa"/>
          <w:left w:w="28" w:type="dxa"/>
          <w:bottom w:w="28" w:type="dxa"/>
          <w:right w:w="28" w:type="dxa"/>
        </w:tblCellMar>
      </w:tblPr>
      <w:tblGrid>
        <w:gridCol w:w="1343"/>
        <w:gridCol w:w="1174"/>
        <w:gridCol w:w="1187"/>
        <w:gridCol w:w="109"/>
        <w:gridCol w:w="109"/>
        <w:gridCol w:w="109"/>
        <w:gridCol w:w="499"/>
        <w:gridCol w:w="499"/>
        <w:gridCol w:w="501"/>
        <w:gridCol w:w="109"/>
        <w:gridCol w:w="109"/>
        <w:gridCol w:w="109"/>
        <w:gridCol w:w="1174"/>
        <w:gridCol w:w="1174"/>
        <w:gridCol w:w="1671"/>
      </w:tblGrid>
      <w:tr>
        <w:trPr/>
        <w:tc>
          <w:tcPr>
            <w:tcW w:w="1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November 10, 2025, the registrant had 74,483,482 shares of its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FORM 10-Q </w:t>
      </w:r>
    </w:p>
    <w:tbl>
      <w:tblPr>
        <w:tblW w:w="9849" w:type="dxa"/>
        <w:jc w:val="left"/>
        <w:tblInd w:w="0" w:type="dxa"/>
        <w:tblLayout w:type="fixed"/>
        <w:tblCellMar>
          <w:top w:w="28" w:type="dxa"/>
          <w:left w:w="28" w:type="dxa"/>
          <w:bottom w:w="28" w:type="dxa"/>
          <w:right w:w="28" w:type="dxa"/>
        </w:tblCellMar>
      </w:tblPr>
      <w:tblGrid>
        <w:gridCol w:w="641"/>
        <w:gridCol w:w="562"/>
        <w:gridCol w:w="562"/>
        <w:gridCol w:w="2440"/>
        <w:gridCol w:w="2440"/>
        <w:gridCol w:w="2485"/>
        <w:gridCol w:w="210"/>
        <w:gridCol w:w="210"/>
        <w:gridCol w:w="29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w:t>
            </w:r>
          </w:p>
        </w:tc>
      </w:tr>
      <w:tr>
        <w:trPr/>
        <w:tc>
          <w:tcPr>
            <w:tcW w:w="91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3">
              <w:r>
                <w:rPr>
                  <w:rStyle w:val="InternetLink"/>
                  <w:rFonts w:ascii="Times New Roman;serif" w:hAnsi="Times New Roman;serif"/>
                  <w:b/>
                  <w:color w:val="0000FF"/>
                  <w:sz w:val="20"/>
                  <w:u w:val="single"/>
                </w:rPr>
                <w:t>PART I - FINANCIAL INFORMATION</w:t>
              </w:r>
            </w:hyperlink>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6">
              <w:r>
                <w:rPr>
                  <w:rStyle w:val="InternetLink"/>
                  <w:rFonts w:ascii="Times New Roman;serif" w:hAnsi="Times New Roman;serif"/>
                  <w:b w:val="false"/>
                  <w:color w:val="0000FF"/>
                  <w:sz w:val="20"/>
                  <w:u w:val="single"/>
                </w:rPr>
                <w:t>Financial Statements (Unaudited)</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9">
              <w:r>
                <w:rPr>
                  <w:rStyle w:val="InternetLink"/>
                  <w:rFonts w:ascii="Times New Roman;serif" w:hAnsi="Times New Roman;serif"/>
                  <w:b w:val="false"/>
                  <w:color w:val="0000FF"/>
                  <w:sz w:val="20"/>
                  <w:u w:val="single"/>
                </w:rPr>
                <w:t>Condensed Consolidated Balance Sheets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9">
              <w:r>
                <w:rPr>
                  <w:rStyle w:val="InternetLink"/>
                  <w:rFonts w:ascii="Times New Roman;serif" w:hAnsi="Times New Roman;serif"/>
                  <w:b w:val="false"/>
                  <w:strike w:val="false"/>
                  <w:dstrike w:val="false"/>
                  <w:color w:val="000000"/>
                  <w:sz w:val="20"/>
                  <w:u w:val="none"/>
                  <w:effect w:val="none"/>
                </w:rPr>
                <w:t>1</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22">
              <w:r>
                <w:rPr>
                  <w:rStyle w:val="InternetLink"/>
                  <w:rFonts w:ascii="Times New Roman;serif" w:hAnsi="Times New Roman;serif"/>
                  <w:b w:val="false"/>
                  <w:color w:val="0000FF"/>
                  <w:sz w:val="20"/>
                  <w:u w:val="single"/>
                </w:rPr>
                <w:t>Condensed Consolidated Statements of Operations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22">
              <w:r>
                <w:rPr>
                  <w:rStyle w:val="InternetLink"/>
                  <w:rFonts w:ascii="Times New Roman;serif" w:hAnsi="Times New Roman;serif"/>
                  <w:b w:val="false"/>
                  <w:strike w:val="false"/>
                  <w:dstrike w:val="false"/>
                  <w:color w:val="000000"/>
                  <w:sz w:val="20"/>
                  <w:u w:val="none"/>
                  <w:effect w:val="none"/>
                </w:rPr>
                <w:t>2</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25">
              <w:r>
                <w:rPr>
                  <w:rStyle w:val="InternetLink"/>
                  <w:rFonts w:ascii="Times New Roman;serif" w:hAnsi="Times New Roman;serif"/>
                  <w:b w:val="false"/>
                  <w:color w:val="0000FF"/>
                  <w:sz w:val="20"/>
                  <w:u w:val="single"/>
                </w:rPr>
                <w:t>Condensed Consolidated Statements of Changes in Stockholders’ Equity (Deficit)</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25">
              <w:r>
                <w:rPr>
                  <w:rStyle w:val="InternetLink"/>
                  <w:rFonts w:ascii="Times New Roman;serif" w:hAnsi="Times New Roman;serif"/>
                  <w:b w:val="false"/>
                  <w:strike w:val="false"/>
                  <w:dstrike w:val="false"/>
                  <w:color w:val="000000"/>
                  <w:sz w:val="20"/>
                  <w:u w:val="none"/>
                  <w:effect w:val="none"/>
                </w:rPr>
                <w:t>3</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28">
              <w:r>
                <w:rPr>
                  <w:rStyle w:val="InternetLink"/>
                  <w:rFonts w:ascii="Times New Roman;serif" w:hAnsi="Times New Roman;serif"/>
                  <w:b w:val="false"/>
                  <w:color w:val="0000FF"/>
                  <w:sz w:val="20"/>
                  <w:u w:val="single"/>
                </w:rPr>
                <w:t>Condensed Consolidated Statements of Cash Flows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28">
              <w:r>
                <w:rPr>
                  <w:rStyle w:val="InternetLink"/>
                  <w:rFonts w:ascii="Times New Roman;serif" w:hAnsi="Times New Roman;serif"/>
                  <w:b w:val="false"/>
                  <w:strike w:val="false"/>
                  <w:dstrike w:val="false"/>
                  <w:color w:val="000000"/>
                  <w:sz w:val="20"/>
                  <w:u w:val="none"/>
                  <w:effect w:val="none"/>
                </w:rPr>
                <w:t>4</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31">
              <w:r>
                <w:rPr>
                  <w:rStyle w:val="InternetLink"/>
                  <w:rFonts w:ascii="Times New Roman;serif" w:hAnsi="Times New Roman;serif"/>
                  <w:b w:val="false"/>
                  <w:color w:val="0000FF"/>
                  <w:sz w:val="20"/>
                  <w:u w:val="single"/>
                </w:rPr>
                <w:t>Notes to Unaudited Condensed Consolidated Financial Statements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31">
              <w:r>
                <w:rPr>
                  <w:rStyle w:val="InternetLink"/>
                  <w:rFonts w:ascii="Times New Roman;serif" w:hAnsi="Times New Roman;serif"/>
                  <w:b w:val="false"/>
                  <w:strike w:val="false"/>
                  <w:dstrike w:val="false"/>
                  <w:color w:val="000000"/>
                  <w:sz w:val="20"/>
                  <w:u w:val="none"/>
                  <w:effect w:val="none"/>
                </w:rPr>
                <w:t>5</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7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73">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0">
              <w:r>
                <w:rPr>
                  <w:rStyle w:val="InternetLink"/>
                  <w:rFonts w:ascii="Times New Roman;serif" w:hAnsi="Times New Roman;serif"/>
                  <w:b w:val="false"/>
                  <w:color w:val="0000FF"/>
                  <w:sz w:val="20"/>
                  <w:u w:val="single"/>
                </w:rPr>
                <w:t>Quantitative and Qualitative Disclosures About Market Risk</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00">
              <w:r>
                <w:rPr>
                  <w:rStyle w:val="InternetLink"/>
                  <w:rFonts w:ascii="Times New Roman;serif" w:hAnsi="Times New Roman;serif"/>
                  <w:b w:val="false"/>
                  <w:strike w:val="false"/>
                  <w:dstrike w:val="false"/>
                  <w:color w:val="000000"/>
                  <w:sz w:val="20"/>
                  <w:u w:val="none"/>
                  <w:effect w:val="none"/>
                </w:rPr>
                <w:t>39</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3">
              <w:r>
                <w:rPr>
                  <w:rStyle w:val="InternetLink"/>
                  <w:rFonts w:ascii="Times New Roman;serif" w:hAnsi="Times New Roman;serif"/>
                  <w:b w:val="false"/>
                  <w:color w:val="0000FF"/>
                  <w:sz w:val="20"/>
                  <w:u w:val="single"/>
                </w:rPr>
                <w:t>Controls and Procedures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03">
              <w:r>
                <w:rPr>
                  <w:rStyle w:val="InternetLink"/>
                  <w:rFonts w:ascii="Times New Roman;serif" w:hAnsi="Times New Roman;serif"/>
                  <w:b w:val="false"/>
                  <w:strike w:val="false"/>
                  <w:dstrike w:val="false"/>
                  <w:color w:val="000000"/>
                  <w:sz w:val="20"/>
                  <w:u w:val="none"/>
                  <w:effect w:val="none"/>
                </w:rPr>
                <w:t>39</w:t>
              </w:r>
            </w:hyperlink>
          </w:p>
        </w:tc>
      </w:tr>
      <w:tr>
        <w:trPr/>
        <w:tc>
          <w:tcPr>
            <w:tcW w:w="9130"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6">
              <w:r>
                <w:rPr>
                  <w:rStyle w:val="InternetLink"/>
                  <w:rFonts w:ascii="Times New Roman;serif" w:hAnsi="Times New Roman;serif"/>
                  <w:b/>
                  <w:color w:val="0000FF"/>
                  <w:sz w:val="20"/>
                  <w:u w:val="single"/>
                </w:rPr>
                <w:t>PART II - OTHER INFORMATION</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09">
              <w:r>
                <w:rPr>
                  <w:rStyle w:val="InternetLink"/>
                  <w:rFonts w:ascii="Times New Roman;serif" w:hAnsi="Times New Roman;serif"/>
                  <w:b w:val="false"/>
                  <w:color w:val="0000FF"/>
                  <w:sz w:val="20"/>
                  <w:u w:val="single"/>
                </w:rPr>
                <w:t>Legal Proceedings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09">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2">
              <w:r>
                <w:rPr>
                  <w:rStyle w:val="InternetLink"/>
                  <w:rFonts w:ascii="Times New Roman;serif" w:hAnsi="Times New Roman;serif"/>
                  <w:b w:val="false"/>
                  <w:color w:val="0000FF"/>
                  <w:sz w:val="20"/>
                  <w:u w:val="single"/>
                </w:rPr>
                <w:t>Risk Factors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12">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5">
              <w:r>
                <w:rPr>
                  <w:rStyle w:val="InternetLink"/>
                  <w:rFonts w:ascii="Times New Roman;serif" w:hAnsi="Times New Roman;serif"/>
                  <w:b w:val="false"/>
                  <w:color w:val="0000FF"/>
                  <w:sz w:val="20"/>
                  <w:u w:val="single"/>
                </w:rPr>
                <w:t>Unregistered Sales of Equity Securities and Use of Proceeds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15">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18">
              <w:r>
                <w:rPr>
                  <w:rStyle w:val="InternetLink"/>
                  <w:rFonts w:ascii="Times New Roman;serif" w:hAnsi="Times New Roman;serif"/>
                  <w:b w:val="false"/>
                  <w:color w:val="0000FF"/>
                  <w:sz w:val="20"/>
                  <w:u w:val="single"/>
                </w:rPr>
                <w:t>Defaults Upon Senior Securities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18">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2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21">
              <w:r>
                <w:rPr>
                  <w:rStyle w:val="InternetLink"/>
                  <w:rFonts w:ascii="Times New Roman;serif" w:hAnsi="Times New Roman;serif"/>
                  <w:b w:val="false"/>
                  <w:color w:val="0000FF"/>
                  <w:sz w:val="20"/>
                  <w:u w:val="single"/>
                </w:rPr>
                <w:t>Mine Safety Disclosures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21">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2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24">
              <w:r>
                <w:rPr>
                  <w:rStyle w:val="InternetLink"/>
                  <w:rFonts w:ascii="Times New Roman;serif" w:hAnsi="Times New Roman;serif"/>
                  <w:b w:val="false"/>
                  <w:color w:val="0000FF"/>
                  <w:sz w:val="20"/>
                  <w:u w:val="single"/>
                </w:rPr>
                <w:t>Other Information</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24">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3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30">
              <w:r>
                <w:rPr>
                  <w:rStyle w:val="InternetLink"/>
                  <w:rFonts w:ascii="Times New Roman;serif" w:hAnsi="Times New Roman;serif"/>
                  <w:b w:val="false"/>
                  <w:color w:val="0000FF"/>
                  <w:sz w:val="20"/>
                  <w:u w:val="single"/>
                </w:rPr>
                <w:t>Exhibits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30">
              <w:r>
                <w:rPr>
                  <w:rStyle w:val="InternetLink"/>
                  <w:rFonts w:ascii="Times New Roman;serif" w:hAnsi="Times New Roman;serif"/>
                  <w:b w:val="false"/>
                  <w:strike w:val="false"/>
                  <w:dstrike w:val="false"/>
                  <w:color w:val="000000"/>
                  <w:sz w:val="20"/>
                  <w:u w:val="none"/>
                  <w:effect w:val="none"/>
                </w:rPr>
                <w:t>29</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0a49c3887c64120bcfb2130f6429347_133">
              <w:r>
                <w:rPr>
                  <w:rStyle w:val="InternetLink"/>
                  <w:rFonts w:ascii="Times New Roman;serif" w:hAnsi="Times New Roman;serif"/>
                  <w:b w:val="false"/>
                  <w:color w:val="0000FF"/>
                  <w:sz w:val="20"/>
                  <w:u w:val="single"/>
                </w:rPr>
                <w:t>Signatures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0a49c3887c64120bcfb2130f6429347_133">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64"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lineRule="auto" w:line="264"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ability to protect and enforce our intellectual property and the scope and duration of such protection;</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reliance on third parties, including suppliers, delivery platforms, brand sponsors, software providers and service providers;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ability to operate in public spaces and any errors caused by human supervisors, network connectivity or automation;</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robots’ reliance on sophisticated software technology that incorporates third-party components and networks to operate, and our ability to maintain licenses for this software technology;</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ability to commercialize our products at a large scale;</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the competitive industry in which we operate which is subject to rapid technological change;</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ability to raise additional capital to develop our technology and scale our operations;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developments and projections relating to our competitors and our industry;</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our ability to adequately control the costs associated with our operations;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the impact of current and future laws and regulations, especially those related to personal delivery devices;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or results of operations;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potential cybersecurity risks to our operational systems, infrastructure and integrated software which may arise from our environment or third-party vendors;</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the development of a market for our common stock;</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the Company’s ability to continue as a going concern; and</w:t>
      </w:r>
    </w:p>
    <w:p>
      <w:pPr>
        <w:pStyle w:val="TextBody"/>
        <w:bidi w:val="0"/>
        <w:spacing w:lineRule="auto" w:line="264" w:before="240" w:after="283"/>
        <w:ind w:left="0" w:right="0" w:hanging="360"/>
        <w:jc w:val="both"/>
        <w:rPr/>
      </w:pPr>
      <w:r>
        <w:rPr>
          <w:color w:val="000000"/>
        </w:rPr>
        <w:t>•</w:t>
      </w:r>
      <w:r>
        <w:rPr>
          <w:rFonts w:ascii="Times New Roman;serif" w:hAnsi="Times New Roman;serif"/>
          <w:b w:val="false"/>
          <w:color w:val="000000"/>
          <w:sz w:val="20"/>
        </w:rPr>
        <w:t>other risks and uncertainties, including those listed in our Annual Report on Form 10-K for the year ended December 31, 2024, including the factors described in the section entitled “</w:t>
      </w:r>
      <w:r>
        <w:rPr>
          <w:rFonts w:ascii="Times New Roman;serif" w:hAnsi="Times New Roman;serif"/>
          <w:b w:val="false"/>
          <w:i/>
          <w:color w:val="000000"/>
          <w:sz w:val="20"/>
        </w:rPr>
        <w:t>Item 1A – Risk Factors</w:t>
      </w:r>
      <w:r>
        <w:rPr>
          <w:rFonts w:ascii="Times New Roman;serif" w:hAnsi="Times New Roman;serif"/>
          <w:b w:val="false"/>
          <w:color w:val="000000"/>
          <w:sz w:val="20"/>
        </w:rPr>
        <w:t>.”</w:t>
      </w:r>
    </w:p>
    <w:p>
      <w:pPr>
        <w:pStyle w:val="TextBody"/>
        <w:bidi w:val="0"/>
        <w:spacing w:lineRule="auto" w:line="264" w:before="240" w:after="283"/>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lineRule="auto" w:line="264"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Factors or events that could cause our actual results to differ may emerge from time to time, and it is not possible for us to predict all of them. We cannot guarantee future results, levels of activity, performance or achievements. Accordingly,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4"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Quarterly Report on Form 10-Q should not be regarded as representations that the plans, intentions, expectations, results or conditions described in such statements will occur or that our objectives and plans will be achieved, and the forward-looking statements do not reflect the potential impact of any future acquisitions, mergers, dispositions, joint ventures, or investments we may make. Therefore, you should not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61"/>
        <w:gridCol w:w="2413"/>
        <w:gridCol w:w="2272"/>
        <w:gridCol w:w="208"/>
        <w:gridCol w:w="781"/>
        <w:gridCol w:w="115"/>
        <w:gridCol w:w="109"/>
        <w:gridCol w:w="109"/>
        <w:gridCol w:w="109"/>
        <w:gridCol w:w="203"/>
        <w:gridCol w:w="762"/>
        <w:gridCol w:w="163"/>
      </w:tblGrid>
      <w:tr>
        <w:trPr/>
        <w:tc>
          <w:tcPr>
            <w:tcW w:w="296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123,266 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93,608 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219,699 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125,252 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299,099 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139,601 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current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or outstanding as of both September 30, 2025 and December 31, 2024</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300,000,000 shares authorized, 67,811,201 and 51,396,574 shares issued and 67,761,023 and 51,288,566 shares outstanding as of September 30, 2025 and December 31, 2024, each respectively.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458,398 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(174,612)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283,858 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131,681 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299,099 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2"/>
        <w:gridCol w:w="1382"/>
        <w:gridCol w:w="1374"/>
        <w:gridCol w:w="240"/>
        <w:gridCol w:w="841"/>
        <w:gridCol w:w="109"/>
        <w:gridCol w:w="109"/>
        <w:gridCol w:w="109"/>
        <w:gridCol w:w="109"/>
        <w:gridCol w:w="270"/>
        <w:gridCol w:w="811"/>
        <w:gridCol w:w="109"/>
        <w:gridCol w:w="109"/>
        <w:gridCol w:w="109"/>
        <w:gridCol w:w="109"/>
        <w:gridCol w:w="240"/>
        <w:gridCol w:w="841"/>
        <w:gridCol w:w="109"/>
        <w:gridCol w:w="109"/>
        <w:gridCol w:w="109"/>
        <w:gridCol w:w="109"/>
        <w:gridCol w:w="240"/>
        <w:gridCol w:w="841"/>
        <w:gridCol w:w="155"/>
      </w:tblGrid>
      <w:tr>
        <w:trPr/>
        <w:tc>
          <w:tcPr>
            <w:tcW w:w="166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foreign currency translation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61,343,218 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58,472,679 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33,267,589 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56"/>
        <w:gridCol w:w="280"/>
        <w:gridCol w:w="281"/>
        <w:gridCol w:w="375"/>
        <w:gridCol w:w="376"/>
        <w:gridCol w:w="308"/>
        <w:gridCol w:w="109"/>
        <w:gridCol w:w="109"/>
        <w:gridCol w:w="109"/>
        <w:gridCol w:w="248"/>
        <w:gridCol w:w="305"/>
        <w:gridCol w:w="138"/>
        <w:gridCol w:w="109"/>
        <w:gridCol w:w="109"/>
        <w:gridCol w:w="109"/>
        <w:gridCol w:w="196"/>
        <w:gridCol w:w="646"/>
        <w:gridCol w:w="109"/>
        <w:gridCol w:w="109"/>
        <w:gridCol w:w="109"/>
        <w:gridCol w:w="109"/>
        <w:gridCol w:w="266"/>
        <w:gridCol w:w="591"/>
        <w:gridCol w:w="149"/>
        <w:gridCol w:w="109"/>
        <w:gridCol w:w="109"/>
        <w:gridCol w:w="109"/>
        <w:gridCol w:w="213"/>
        <w:gridCol w:w="719"/>
        <w:gridCol w:w="119"/>
        <w:gridCol w:w="109"/>
        <w:gridCol w:w="109"/>
        <w:gridCol w:w="109"/>
        <w:gridCol w:w="464"/>
        <w:gridCol w:w="501"/>
        <w:gridCol w:w="260"/>
        <w:gridCol w:w="109"/>
        <w:gridCol w:w="109"/>
        <w:gridCol w:w="109"/>
        <w:gridCol w:w="242"/>
        <w:gridCol w:w="707"/>
        <w:gridCol w:w="194"/>
      </w:tblGrid>
      <w:tr>
        <w:trPr/>
        <w:tc>
          <w:tcPr>
            <w:tcW w:w="5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Subscription</w:t>
              <w:b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br/>
              <w:t>(Deficit)</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2023</w:t>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24,508,795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(68,334)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recourse loan</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4,255 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2024</w:t>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24,633,795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(77,372)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(8,806)</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offering</w:t>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Offering costs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(4,150)</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note and derivative liability into common stock</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6,803 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Repurchased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(245,060)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forgiveness on recourse loans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36,529,574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(86,410)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28,464 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to purchase common stock in connection with private placement, net of issuance costs</w:t>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3,055,555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17,116 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16,319 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repurchased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(7,996)</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September 30, 2024</w:t>
            </w:r>
          </w:p>
        </w:tc>
        <w:tc>
          <w:tcPr>
            <w:tcW w:w="10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42,844,956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150,578 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(94,406)</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56,176 </w:t>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35"/>
        <w:gridCol w:w="269"/>
        <w:gridCol w:w="270"/>
        <w:gridCol w:w="304"/>
        <w:gridCol w:w="304"/>
        <w:gridCol w:w="308"/>
        <w:gridCol w:w="109"/>
        <w:gridCol w:w="109"/>
        <w:gridCol w:w="109"/>
        <w:gridCol w:w="248"/>
        <w:gridCol w:w="305"/>
        <w:gridCol w:w="138"/>
        <w:gridCol w:w="109"/>
        <w:gridCol w:w="109"/>
        <w:gridCol w:w="109"/>
        <w:gridCol w:w="196"/>
        <w:gridCol w:w="736"/>
        <w:gridCol w:w="109"/>
        <w:gridCol w:w="109"/>
        <w:gridCol w:w="109"/>
        <w:gridCol w:w="109"/>
        <w:gridCol w:w="382"/>
        <w:gridCol w:w="411"/>
        <w:gridCol w:w="213"/>
        <w:gridCol w:w="109"/>
        <w:gridCol w:w="109"/>
        <w:gridCol w:w="109"/>
        <w:gridCol w:w="196"/>
        <w:gridCol w:w="751"/>
        <w:gridCol w:w="109"/>
        <w:gridCol w:w="109"/>
        <w:gridCol w:w="109"/>
        <w:gridCol w:w="109"/>
        <w:gridCol w:w="461"/>
        <w:gridCol w:w="497"/>
        <w:gridCol w:w="258"/>
        <w:gridCol w:w="109"/>
        <w:gridCol w:w="109"/>
        <w:gridCol w:w="109"/>
        <w:gridCol w:w="205"/>
        <w:gridCol w:w="773"/>
        <w:gridCol w:w="165"/>
      </w:tblGrid>
      <w:tr>
        <w:trPr/>
        <w:tc>
          <w:tcPr>
            <w:tcW w:w="6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Subscription</w:t>
              <w:b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br/>
              <w:t>(Deficit)</w:t>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51,288,566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131,681 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offering costs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4,210,525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Short-swing profit disgorgement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56,845,515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2025 Equity Distribution Agreement, net of offering costs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1,125,706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1,092,542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59,333,332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207,206 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2025 Equity Distribution Agreement, net of offering costs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5,374,229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Vayu Acquisition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1,539,906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37,830 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(33,020)</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September 30, 2025</w:t>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67,761,023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458,398 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(174,612)</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283,858 </w:t>
            </w:r>
          </w:p>
        </w:tc>
        <w:tc>
          <w:tcPr>
            <w:tcW w:w="1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common stock is less than $1,000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3"/>
        <w:gridCol w:w="2438"/>
        <w:gridCol w:w="2457"/>
        <w:gridCol w:w="196"/>
        <w:gridCol w:w="736"/>
        <w:gridCol w:w="109"/>
        <w:gridCol w:w="109"/>
        <w:gridCol w:w="109"/>
        <w:gridCol w:w="109"/>
        <w:gridCol w:w="196"/>
        <w:gridCol w:w="708"/>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7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&amp;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discount on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short-term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maturity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2025 Equity Distribution Agreement, net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prefunded warrants to purchase common stock in connection with private placement,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exercise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exercise of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short-swing profit disgorgement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Payments of deferred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financing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convertible notes payable, net of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notes payable,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note payable</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50,913 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43" w:type="dxa"/>
        <w:jc w:val="center"/>
        <w:tblInd w:w="0" w:type="dxa"/>
        <w:tblLayout w:type="fixed"/>
        <w:tblCellMar>
          <w:top w:w="28" w:type="dxa"/>
          <w:left w:w="28" w:type="dxa"/>
          <w:bottom w:w="28" w:type="dxa"/>
          <w:right w:w="28" w:type="dxa"/>
        </w:tblCellMar>
      </w:tblPr>
      <w:tblGrid>
        <w:gridCol w:w="2012"/>
        <w:gridCol w:w="1764"/>
        <w:gridCol w:w="1773"/>
        <w:gridCol w:w="196"/>
        <w:gridCol w:w="556"/>
        <w:gridCol w:w="109"/>
        <w:gridCol w:w="109"/>
        <w:gridCol w:w="109"/>
        <w:gridCol w:w="109"/>
        <w:gridCol w:w="196"/>
        <w:gridCol w:w="55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accrued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convertible notes and derivative into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OPERATIONS, HISTORY, ORGANIZATION AND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Serve Operating Co. (formerly known as Serve Robotics Inc.) (“Serve”) is a corporation formed on January 15, 2021 under the laws of the State of Delaware and a wholly-owned subsidiary of Serve Robotics Inc. (formerly known as Patricia Acquisition Corp.) (the “Company”). The Company is developing next-generation robots for last-mile delivery services. The Company is headquartered in Redwood City, California.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2023, Serve Acquisition Corp., a corporation formed in the State of Delaware on July 10, 2023 (“Acquisition Sub”) and a wholly-owned subsidiary of Patricia Acquisition Corp., a Delaware corporation incorporated on November 9, 2020 (“Patricia”), merged with and into Serve. Pursuant to this transaction (the “Merger”), Serve was the surviving corporation and became Patricia’s wholly-owned subsidiary, and all of the outstanding stock of Serve was converted into shares of Patricia’s common stock. All of Serve’s outstanding warrants and options were assumed by Patricia. In addition, on July 31, 2023, the board of directors of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Merger, Patricia acquired the business of Serve and continued the existing business operations of Serve as a public reporting company under the name Serve Robotics Inc. In accordance with “reverse merger” or “reverse acquisition” accounting treatment, Serve was determined to be the accounting acquirer. Patricia’s historical financial statements before the Merger have been replaced with the historical financial statements of Serve before the Merger in filings with the Securities and Exchange Commission (the “SEC”) since the Merger unless otherwise noted.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Public Offering and Uplisting to Nasdaq</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17, 2024, the Company entered into an underwriting agreement (the “Underwriting Agreement”) with an underwriter (the “Underwriter”) in connection with the public offering of 10,000,000 shares of the Company’s common stock, par value $0.0001, at a public offering price of $4.00 per share (the “Offering”). The Company’s net proceeds from the Offering, after deducting the underwriting discount and other estimated offering expenses payable by the Company, were approximately $35.8 million. As a result of the Offering, the Company’s common stock was approved for listing on The Nasdaq Capital Market and commenced trading under the ticker symbol “SERV” beginning on April 18, 2024. See Note 9.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Enactment of the One Big Beautiful Bill 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into law the One Big Beautiful Bill Act (“OBBBA”), which includes significant changes to federal tax law, including modifications to bonus depreciation, research and development expensing and international tax regimes. As the legislation was enacted after the end of the Company’s reporting period, the effects are not reflected in these unaudited condensed consolidated financial statements. While the Company continues to evaluate the impact of the legislation on its unaudited condensed consolidated financial statements, it does not currently expect the tax provisions of the OBBBA to have a material impact within its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wholly-owned subsidiaries. All intercompany transactions and balances have been eliminated in consolidation. The unaudited condensed consolidated financial statements have been prepared in accordance with the rules and regulations of the SEC applicable to interim period financial statements and do not include all of the information and disclosures required by accounting principles generally accepted in the United States (“GAAP”) for complete financial statements. In the opinion of management, the unaudited condensed consolidated financial statements include all adjustments, consisting only of normal recurring adjustments, necessary for a fair statement of the financial position and the results of operations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should be read in conjunction with the Company’s audited financial statements and the notes thereto for the year ended December 31, 2024 included our Annual Report on Form 10-K. Interim results are not necessarily indicative of the results that may be expected for a full year.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serves as the Company’s CODM. The CODM reviews financial information on a consolidated basis for purposes of making operating decisions, allocating resources, and evaluating financial performance. As such, the Company has one operating and reportable segment. See further information in Note 12.</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principal sources of liquidity were cash and cash equivalents and marketable securities of $210.4 million, which consisted of unrestricted cash and cash equivalents on hand of $116.8 million and $93.6 million in marketable securities. Although the Company has incurred recurring losses each year since its inception, the Company expects it will be able to fund its operations for at least the next twelve months from the issuance of these unaudited condensed consolidated financial statements. We believe we will meet longer term expected future cash requirements and obligations through available cash balances. However, our projections of future cash needs and cash flows may differ from historical results. If current cash on hand, cash equivalents, and cash that may be generated from our business operations are insufficient to continue to operate our business, or if we elect to invest in or acquire a company or companies or new technology or technologies that are synergistic with or complementary to our technologies, we may be required to obtain more working capital. We have and may continue to seek to obtain working capital during our fiscal year 2025 or thereafter through sales of our equity securities or convertible debt or through public or private debt facilities from various financial institutions where possible, though the availability of such funding, and applicable terms, will be dependent on prevailing market conditions.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identify sources for additional funding, the sale of additional equity securities or convertible debt will result in dilution to our stockholders. We can give no assurance that we will generate sufficient cash flows in the future to satisfy our liquidity requirements or sustain future operations, or that other sources of funding, such as sales of equity or debt, would be available or would be approved by our securityholders,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assuming the Company will continue as a going concern, which contemplates, among other things, the realization of assets and satisfaction of liabilities in the normal course of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unaudited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estimated useful lives of property and equipment and intangible assets, impairment of long-lived assets, allocation of overhead costs between cost of revenue and operating expenses, valuation of stock-based compensation, and valuation of acquired intangible assets and goodwill.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principally of cash and cash equivalents and marketable securities. The Company generally maintains balances in various operating accounts at financial institutions that management believes to be credit 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three customers, Customer A, Customer B, and Customer 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A accounted for 43% and 78% of our total revenue, respectively. For the nine months ended September 30, 2025 and 2024, sales to Customer A accounted for 34% and 22%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B accounted for 27% and none of our total revenue, respectively. For the nine months ended September 30, 2025 and 2024, sales to Customer B accounted for 10% and none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C accounted for &lt; 10% and 17% of our total revenue, respectively. For the nine months ended September 30, 2025 and 2024, sales to Customer C accounted for 27% and 72%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balance is concentrated with four customers, Customer A, Customer B, Customer C, and Customer 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Customer C and Customer B accounted for 55% and 20% of our accounts receivable, respectively. As of December 31, 2024, Customer D and Customer A accounted for 86% and 12% of our accounts receivable,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inherent risks whenever a large percentage of total revenues and accounts receivable are concentrated with a limited number of customers. The loss of any or all of these customers could have a negative impact on our planned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maturities of three months or less at the date of purchase to be cash equivalents.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Marketable securities primarily consist of certificates of deposit, commercial paper, U.S. government agency securities, U.S. Treasury securities, corporate bonds and mutual funds. The Company invests in a diversified portfolio of marketable securities and limits the concentration of its investment in any particular security. Securities with maturities greater than three months but less than one year are included in current assets, and securities with maturities greater than one year are included in non-current assets on the consolidated balance sheets. All marketable securities are classified as available-for-sale and reported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estimated fair value of an available-for-sale debt security is below its amortized cost basis, then the Company evaluates the security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expense, net in the consolidated statements of operations. If neither of these criteria are met, the Company evaluates whether unrealized losses have resulted from a credit loss or other factors. The factors considered in determining whether a credit loss exists can include the extent to which fair value is less than the amortized cost basis, changes to the rating of the security by a rating agency, any adverse conditions specifically related to the security, as well as other factors. An impairment relating to credit losses is recorded through an allowance for credit losses reported in other expense, net in the unaudited condensed consolidated statements of operations. The allowance is limited by the amount that the fair value of the debt security is below its amortized cost basis. When a credit loss exists, the Company compares the present value of cash flows expected to be collected from the debt security with the amortized cost basis of the security to determine what allowance amount, if any, should be recorded. Unrealized losses not resulting from credit losses are recorded in accumulated other comprehensive income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Level 3—Unobservable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values of the Company’s accounts receivable, prepaid expenses and accounts payable and accrued expenses approximate their fair values due to the short-term nature of these assets and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Note 5 for fair value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derived from services delivered to customers and reported net of allowance. Each month, the Company reviews its receivables on a customer-by-customer basis and evaluates whether an allowance for credit loss is necessary based on any known or perceived collection issues. Any balances that are eventually deemed uncollectible are written off against the allowance after all means of collection have been exhausted and the potential for recovery is considered remote. As of September 30, 2025 and December 31, 2024, the Company determined there was an immaterial amount of allowance for credit losses.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less accumulated depreciation. Depreciation expense is recognized using the straight-line method over the estimated useful life of the asset, which is two to four years for office equipment and two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four years for the Company’s robot assets, and the shorter of remaining lease term or estimated useful life for leasehold improvements.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statements of operations in the period of disposal. As of September 30, 2025, certain amounts previously categorized as inventory have been reclassified as Property and Equipment. The reclassification had an immaterial impact on our unaudited condensed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leases under ASC 842 – Leases. The Company does not apply the recognition requirements for leases with a term of twelve months or 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(i)there is an identified asset;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Company obtains substantially all of the economic benefits of the asset;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Company has the right to direct the use of the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 agreements include office and warehouse space, and cargo vans.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are recorded at fair value as of the date of acquisition and amortized on a straight-line basis over their estimated useful lives. The Company reviews identifiable amortizable intangible assets for impairment under the long-lived asset model described under “Impairment of Long-Lived Assets”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the net tangible and intangible assets acquired in a business combination. Goodwill is not amortized but is tested for impairment at least annually or more frequently if events or changes in circumstances indicate that the asset may be impaired. The Company’s impairment tests are based on a single operating segment and reporting unit structure. If the carrying value of the reporting unit exceeds its fair value, an impairment charge is recognized for the excess of the carrying value of the reporting unit over its fair value.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long-lived assets in accordance with the provisions of ASC 360 – Property, Plant and Equipment. The Company continually monitors events and changes in circumstances that could indicate carrying amounts of long-lived assets may not be recoverable. When such events or changes in circumstances are present,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its convertible instruments, options, warrants or other contracts to determine if those contracts or embedded components of those contracts qualify as derivatives to be separately accounted for under ASC 815 – Derivatives and Hedging (“ASC 815”). The result of this accounting treatment is that the fair value of the derivative is marked-to-market each balance sheet date and recorded as a liability. In the event that the fair value is recorded as a liability, the change in fair value is recorded in the statements of operations as other income (expense). Upon conversion or exercise of a derivative instrument, the instrument is marked to fair value at the conversion date and then that fair value is reclassified to equity. Equity instruments that are initially classified as equity that become subject to reclassification under ASC 815 are reclassified to liabilities at the fair value of the instrument on the reclassification date. 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Accounting for Preferred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ASC 480 –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is not required. Management determined that the host contract of the preferred stock is more akin to equity, and accordingly, liability accounting is not required by the Company. The Company has presented preferred stock within stockholders’ equity.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Costs incurred directly for the issuance of the preferred stock are recorded as a reduction of gross proceeds received by the Company, resulting in a discount to the preferred stock. The discount is not amortized.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primarily consists of foreign currency translation adjustments and unrealized gains and losses on available-for-sale marketable securities. The financial statements of the Company’s non-U.S. subsidiaries are translated from their functional currency, into U.S. dollars.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from the functional currency into U.S. dollars at period end rates of exchange, and revenue and expenses are translated using average monthly exchange rates. The resulting gain or loss is included in accumulated other comprehensive income (loss) on the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are reported at fair value, with unrealized gains and losses included as a separate component of stockholders’ equity within accumulated other comprehensive income (loss).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stock-based compensation in accordance with ASC 718 –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stock-based compensation expense in its statements of operations in the same manner in which the award recipient’s payroll costs are classified or in which the award recipient’s service payments are classified.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 is estimated on the date of grant using the Black-Scholes option-pricing model. The Company historically was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revenue under ASC 606 – Revenue from Contracts with Customers. The Company determines revenue recognition through the following steps: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Identification of a contract with a customer;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on its fleet services when the performance obligation is satisfied. The fleet performs delivery services, branding services, and unit sales. The Company’s performance obligation on a delivery is satisfied when the delivery is complete, which is the point in time control of the delivered product transfers to the customer. The Company’s performance obligation on branding services is to continually promote a brand over the duration of the contractual term, which is typically less than one year. The Company primarily recognizes revenue in the amount that it has the right to invoice as advertising services are rendered.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on its software services over time based on the contract term. The Company determines measurable performance obligations, which are assessed on a contract by contract basis. The Company develops certain measures to estimate the progress of the performance obligation at each reporting period end. Software service fees that have been invoiced or paid but performance obligations have not been met are recorded as deferred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disaggregation of revenue is as follows (in thousands):</w:t>
      </w:r>
    </w:p>
    <w:tbl>
      <w:tblPr>
        <w:tblW w:w="7999" w:type="dxa"/>
        <w:jc w:val="left"/>
        <w:tblInd w:w="0" w:type="dxa"/>
        <w:tblLayout w:type="fixed"/>
        <w:tblCellMar>
          <w:top w:w="28" w:type="dxa"/>
          <w:left w:w="28" w:type="dxa"/>
          <w:bottom w:w="28" w:type="dxa"/>
          <w:right w:w="28" w:type="dxa"/>
        </w:tblCellMar>
      </w:tblPr>
      <w:tblGrid>
        <w:gridCol w:w="548"/>
        <w:gridCol w:w="482"/>
        <w:gridCol w:w="484"/>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services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Fleet services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allocations of depreciation on robot assets used for revenue 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include personnel costs. Advertising costs are expensed as incurred and included in sales and marketing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expenses consist of lease expense for facilities and certain field operations personnel to support fleet services. The Company considers these expenses to be indirect costs to deliver fleet services.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and facility costs. These costs are expensed as incurred.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Costs incurred in the research and development of the Company’s products are expensed as incurred. Research and development costs include product design, hardware and software costs. Per ASC 730 – Research and Development, the Company recognizes all research and development costs in the statements of operations as they occur. Assets with alternative future uses are capitalized and depreciated over their useful lives, with the depreciation expense reported under research and development costs.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liability method in accordance with ASC 740 – Income Taxes. Under this method, deferred income tax assets and liabilities are recognized for temporary differences between the financial reporting and tax bases of assets and liabilities, using tax rates expected to be in effect when these differences reverse.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established when, in management’s estimate, it is more-likely-than-not that the deferred tax asset will not be realized. The Company evaluates its income tax positions in accordance with ASC 740-10. For tax positions where it is more likely than not that a benefit will be sustained, the Company recognizes the largest amount of tax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is greater than 50% likely to be realized upon ultimate settlement with a taxing authority having full knowledge of all relevant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September 30, 2025 and 2024, diluted net loss per share is the same as basic net loss per share for each period. Potentially dilutive items outstanding as of September 30, 2025 and 2024 are as follows:</w:t>
      </w:r>
    </w:p>
    <w:tbl>
      <w:tblPr>
        <w:tblW w:w="8272" w:type="dxa"/>
        <w:jc w:val="left"/>
        <w:tblInd w:w="0" w:type="dxa"/>
        <w:tblLayout w:type="fixed"/>
        <w:tblCellMar>
          <w:top w:w="28" w:type="dxa"/>
          <w:left w:w="28" w:type="dxa"/>
          <w:bottom w:w="28" w:type="dxa"/>
          <w:right w:w="28" w:type="dxa"/>
        </w:tblCellMar>
      </w:tblPr>
      <w:tblGrid>
        <w:gridCol w:w="2071"/>
        <w:gridCol w:w="1822"/>
        <w:gridCol w:w="1836"/>
        <w:gridCol w:w="343"/>
        <w:gridCol w:w="343"/>
        <w:gridCol w:w="350"/>
        <w:gridCol w:w="142"/>
        <w:gridCol w:w="142"/>
        <w:gridCol w:w="142"/>
        <w:gridCol w:w="310"/>
        <w:gridCol w:w="310"/>
        <w:gridCol w:w="461"/>
      </w:tblGrid>
      <w:tr>
        <w:trPr/>
        <w:tc>
          <w:tcPr>
            <w:tcW w:w="20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4,474,524</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866,268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1,521,585</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related to recourse and non-recourse loans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50,178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112,490</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and performance 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8,984,403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4,814,060</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shares</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14,980,143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10,922,659</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No. 2023-07, Segment Reporting (Topic 280), Improvements to Reportable Segment Disclosures to enable investors to better understand an entity’s overall performance through enhanced disclosures about significant segment expenses. The guidance enhances interim disclosure requirements, clarifies circumstances in which an entity can disclose multiple segment measures of profit or loss, and provide new segment disclosure requirements for entities with a single reportable segment. The Company adopted the provisions of ASU No. 2023-07 during the fourth quarter of December 31, 2024. Refer to Note 12 for further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and early adoption is permitted. The Company expects to adopt ASU 2023-09 in its consolidated financial statements for the year ended December 31, 2025. The adoption will require certain additional disclosure in the notes to the Company’s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statements of operations. ASU 2024-03 is effective for annual reporting periods beginning after December 15, 2026, and interim periods within annual reporting periods beginning after December 15, 2027, and may be applied either prospectively or retrospectively. Early adoption is permitted. The adoption will require certain additional disclosure in the notes to the Company’s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Instruments-Credit Losses (Topic 326): Measurement of Credit Losses for Accounts Receivable and Contract Assets (ASU 2025-05),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Early adoption is permitted. The Company is evaluating the impact of this standard on its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which removes all references to prescriptive and sequential software development stages and establishes new criteria for the capitalization of internal-use software costs. ASU 2025-06 is effective for fiscal years beginning after December 15, 2027, and interim periods within fiscal years beginning after December 15, 2027. Early adoption is permitted. The Company is currently evaluating the impact of the adoption of this guidance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Voysys AB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2025, (the “Voysys Closing Date”), the Company acquired from Phantom Auto Inc., a Delaware corporation (“Phantom”) (i) all of the issued and outstanding equity of Voysys AB, a limited liability company duly incorporated and organized under the laws of Sweden (“Voysys”) and (ii) certain intellectual property, including registered patents, of Phantom, which was accounted for under the acquisition method of accounting. Voysys is a Swedish pioneer in ultra-low latency video streaming, connectivity, and teleoperation technology. The Company’s acquisition of Voysys enhances Serve’s technology stack to support its rapidly growing fleet of autonomous delivery robots.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assets, liabilities, and intangible assets acquired, based on estimated fair values. The excess purchase price over those fair values is recorded as goodwill. The Company’s valuation assumptions of acquired assets and assumed liabilities require significant estimates with respect to intangible assets. In determining the fair value of intangible assets acquired, the Company must make assumptions about the future performance of the acquired business, including among other things, the forecasted revenue growth attributable to the asset group and projected operating expenses. The acquired company’s intangible assets are comprised of customer relationships, trade names and developed technology. The estimated fair value of the customer relationships, trade names and developed technology are determined using the multi-period excess earnings method and relief from royalty method. Both methods require forward-looking estimates that are discounted to determine the fair value of the intangible asset using a risk-adjusted discount rate that is reflective of the level of risk associated with future estimates associated with the asset group that could be affected by future economic and market conditions. The estimated fair value of the developed technology is also dependent on the selection of the royalty rate used in the valuation method.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$5.75 million of cash consideration. The preliminary goodwill of $4.33 million arising from the acquisition is attributed to the expected synergies, including future cost savings, and other benefits expected to be generated. Substantially all of the goodwill recognized is not expected to be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an insignificant amount of acquisition related costs in the nine months ended September 30, 2025, representing professional fees and other direct acquisition costs. These costs are recorded within selling, general, and administrative expense in our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necessary to complete the purchase price allocation remains preliminary. The Company expects to complete the purchase price allocation within 12 months of the Voysys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Voysys Closing Date, is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8159" w:type="dxa"/>
        <w:jc w:val="left"/>
        <w:tblInd w:w="0" w:type="dxa"/>
        <w:tblLayout w:type="fixed"/>
        <w:tblCellMar>
          <w:top w:w="28" w:type="dxa"/>
          <w:left w:w="28" w:type="dxa"/>
          <w:bottom w:w="28" w:type="dxa"/>
          <w:right w:w="28" w:type="dxa"/>
        </w:tblCellMar>
      </w:tblPr>
      <w:tblGrid>
        <w:gridCol w:w="2081"/>
        <w:gridCol w:w="1828"/>
        <w:gridCol w:w="1835"/>
        <w:gridCol w:w="519"/>
        <w:gridCol w:w="1515"/>
        <w:gridCol w:w="381"/>
      </w:tblGrid>
      <w:tr>
        <w:trPr/>
        <w:tc>
          <w:tcPr>
            <w:tcW w:w="208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April 1, 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Escrow amount</w:t>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2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acquired: </w:t>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2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2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preliminary fair values of the identified intangible assets acquired (in thousands): </w:t>
      </w:r>
    </w:p>
    <w:p>
      <w:pPr>
        <w:pStyle w:val="TextBody"/>
        <w:bidi w:val="0"/>
        <w:spacing w:before="0" w:after="0"/>
        <w:jc w:val="left"/>
        <w:rPr/>
      </w:pPr>
      <w:r>
        <w:rPr/>
      </w:r>
    </w:p>
    <w:tbl>
      <w:tblPr>
        <w:tblW w:w="7035" w:type="dxa"/>
        <w:jc w:val="left"/>
        <w:tblInd w:w="0" w:type="dxa"/>
        <w:tblLayout w:type="fixed"/>
        <w:tblCellMar>
          <w:top w:w="28" w:type="dxa"/>
          <w:left w:w="28" w:type="dxa"/>
          <w:bottom w:w="28" w:type="dxa"/>
          <w:right w:w="28" w:type="dxa"/>
        </w:tblCellMar>
      </w:tblPr>
      <w:tblGrid>
        <w:gridCol w:w="723"/>
        <w:gridCol w:w="634"/>
        <w:gridCol w:w="638"/>
        <w:gridCol w:w="594"/>
        <w:gridCol w:w="594"/>
        <w:gridCol w:w="597"/>
        <w:gridCol w:w="699"/>
        <w:gridCol w:w="2044"/>
        <w:gridCol w:w="512"/>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Intangible Assets</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 (in years)</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fair value at acquisition</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Vayu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2025, the Company entered into an Agreement and Plan of Merger by and among the Company, Valencia Merger Sub I Inc., a Delaware corporation and the Company’s direct wholly-owned subsidiary (“Merger Sub I”), Valencia Merger Sub II LLC, a Delaware limited liability company and the Company’s direct wholly-owned subsidiary (“Merger Sub II”), Vayu Robotics, Inc., a Delaware corporation (“Vayu”) and certain of Vayu’s securityholders (the “Vayu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Vayu Merger Agreement, on August 15, 2025 (the “Vayu Closing Date”), (i) Merger Sub I merged with and into Vayu, with Vayu surviving as a direct wholly-owned subsidiary of the Company and (ii) Vayu subsequently merged with and into Merger Sub II, with Merger Sub II surviving the merger. In connection with the closing of the transactions contemplated by the Vayu Merger Agreement, the Company acquired all of the issued and outstanding equity of Vayu, which was accounted for under the acquisition method of accounting. Vayu is a pioneer in urban robot navigation using large-scale AI models, and the Company’s acquisition of Vayu supports the adoption of advanced AI-driven autonomy by integrating Vayu’s foundation model technology and simulation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fair value of consideration paid in connection with the acquisition of Vayu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60"/>
        <w:gridCol w:w="2079"/>
        <w:gridCol w:w="2085"/>
        <w:gridCol w:w="309"/>
        <w:gridCol w:w="309"/>
        <w:gridCol w:w="313"/>
        <w:gridCol w:w="232"/>
        <w:gridCol w:w="563"/>
        <w:gridCol w:w="120"/>
        <w:gridCol w:w="371"/>
        <w:gridCol w:w="1087"/>
        <w:gridCol w:w="277"/>
      </w:tblGrid>
      <w:tr>
        <w:trPr/>
        <w:tc>
          <w:tcPr>
            <w:tcW w:w="246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Shares</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 Share</w:t>
            </w:r>
          </w:p>
        </w:tc>
        <w:tc>
          <w:tcPr>
            <w:tcW w:w="1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Consideration</w:t>
            </w:r>
          </w:p>
        </w:tc>
      </w:tr>
      <w:tr>
        <w:trPr/>
        <w:tc>
          <w:tcPr>
            <w:tcW w:w="6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outstanding shares of Vayu common and preferred stock, as adjusted for working capital</w:t>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common shares issued to Vayu common and preferred stockholders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1,539,906</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w:t>
            </w:r>
          </w:p>
        </w:tc>
      </w:tr>
      <w:tr>
        <w:trPr/>
        <w:tc>
          <w:tcPr>
            <w:tcW w:w="6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warrants issued to Vayu SAFE holder, Khosla Ventures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4,000,000</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21,640</w:t>
            </w:r>
          </w:p>
        </w:tc>
      </w:tr>
      <w:tr>
        <w:trPr/>
        <w:tc>
          <w:tcPr>
            <w:tcW w:w="6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Replacement equity awards attributable to pre-combination service</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r>
      <w:tr>
        <w:trPr/>
        <w:tc>
          <w:tcPr>
            <w:tcW w:w="6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$39,604</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The estimated fair value of the developed technology was determined using the cost method, which estimates the value of an asset based on the current cost to replace or reproduce it, adjusted for physical deterioration, functional obsolescence, and economic factors. This method reflects the amount a market participant would need to invest to create an asset of comparable utility, considering current technology and development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$39.60 million of cash, common stock, warrant, and replacement equity awards. The preliminary goodwill of $7.51 million arising from the acquisition is attributed to the expected synergies, including innovation synergies, and other benefits expected to be generated. Substantially all of the goodwill recognized is not expected to be deductible for tax purposes. The estimated fair value of the warrants was determined using the black-scholes model. The estimated fair value of the replacement equity awards attributable to pre-combination service was determined using the binomial lattice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Vayu Merger Agreement, the Company granted performance-based RSUs (“PRSUs”). 880,001 PRSUs were granted to certain employees and 560,000 PRSUs were granted to certain shareholders. All PRSUs will vest or commence vesting upon achievement of a specified operational target (the “Milestone”) by December 31, 2026 (the “Milestone Date”). In addition, the PRSUs may be subject to a continuous service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$1.28 million of acquisition related costs in the nine months ended September 30, 2025, representing professional fees and other direct acquisition costs. These costs are recorded within selling, general, and administrative expense in our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necessary to complete the purchase price allocation remains preliminary. The Company expects to complete the purchase price allocation within 12 months of the Vayu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Vayu Closing Date, is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8399" w:type="dxa"/>
        <w:jc w:val="left"/>
        <w:tblInd w:w="0" w:type="dxa"/>
        <w:tblLayout w:type="fixed"/>
        <w:tblCellMar>
          <w:top w:w="28" w:type="dxa"/>
          <w:left w:w="28" w:type="dxa"/>
          <w:bottom w:w="28" w:type="dxa"/>
          <w:right w:w="28" w:type="dxa"/>
        </w:tblCellMar>
      </w:tblPr>
      <w:tblGrid>
        <w:gridCol w:w="2082"/>
        <w:gridCol w:w="1828"/>
        <w:gridCol w:w="1834"/>
        <w:gridCol w:w="516"/>
        <w:gridCol w:w="1762"/>
        <w:gridCol w:w="377"/>
      </w:tblGrid>
      <w:tr>
        <w:trP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August 15, 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39,604 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acquired: </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2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32,502 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2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preliminary fair values of the identified intangible assets acquired (in thousands): </w:t>
      </w:r>
    </w:p>
    <w:p>
      <w:pPr>
        <w:pStyle w:val="TextBody"/>
        <w:bidi w:val="0"/>
        <w:spacing w:before="0" w:after="0"/>
        <w:jc w:val="left"/>
        <w:rPr/>
      </w:pPr>
      <w:r>
        <w:rPr/>
      </w:r>
    </w:p>
    <w:tbl>
      <w:tblPr>
        <w:tblW w:w="7019" w:type="dxa"/>
        <w:jc w:val="left"/>
        <w:tblInd w:w="0" w:type="dxa"/>
        <w:tblLayout w:type="fixed"/>
        <w:tblCellMar>
          <w:top w:w="28" w:type="dxa"/>
          <w:left w:w="28" w:type="dxa"/>
          <w:bottom w:w="28" w:type="dxa"/>
          <w:right w:w="28" w:type="dxa"/>
        </w:tblCellMar>
      </w:tblPr>
      <w:tblGrid>
        <w:gridCol w:w="718"/>
        <w:gridCol w:w="629"/>
        <w:gridCol w:w="633"/>
        <w:gridCol w:w="594"/>
        <w:gridCol w:w="594"/>
        <w:gridCol w:w="597"/>
        <w:gridCol w:w="631"/>
        <w:gridCol w:w="2160"/>
        <w:gridCol w:w="463"/>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Intangible Assets</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Useful life (in years)</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fair value at acquisition</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GOODWILL AND 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nine months ended September 30, 2025 were as follows (in thousands):</w:t>
      </w:r>
    </w:p>
    <w:tbl>
      <w:tblPr>
        <w:tblW w:w="3951" w:type="dxa"/>
        <w:jc w:val="left"/>
        <w:tblInd w:w="0" w:type="dxa"/>
        <w:tblLayout w:type="fixed"/>
        <w:tblCellMar>
          <w:top w:w="28" w:type="dxa"/>
          <w:left w:w="28" w:type="dxa"/>
          <w:bottom w:w="28" w:type="dxa"/>
          <w:right w:w="28" w:type="dxa"/>
        </w:tblCellMar>
      </w:tblPr>
      <w:tblGrid>
        <w:gridCol w:w="1038"/>
        <w:gridCol w:w="910"/>
        <w:gridCol w:w="917"/>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over the net tangible and identifiable intangible assets of acquired businesses.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as of September 30, 2025 (in thousands): </w:t>
      </w:r>
    </w:p>
    <w:tbl>
      <w:tblPr>
        <w:tblW w:w="10205" w:type="dxa"/>
        <w:jc w:val="left"/>
        <w:tblInd w:w="0" w:type="dxa"/>
        <w:tblLayout w:type="fixed"/>
        <w:tblCellMar>
          <w:top w:w="28" w:type="dxa"/>
          <w:left w:w="28" w:type="dxa"/>
          <w:bottom w:w="28" w:type="dxa"/>
          <w:right w:w="28" w:type="dxa"/>
        </w:tblCellMar>
      </w:tblPr>
      <w:tblGrid>
        <w:gridCol w:w="720"/>
        <w:gridCol w:w="569"/>
        <w:gridCol w:w="573"/>
        <w:gridCol w:w="943"/>
        <w:gridCol w:w="943"/>
        <w:gridCol w:w="945"/>
        <w:gridCol w:w="109"/>
        <w:gridCol w:w="109"/>
        <w:gridCol w:w="109"/>
        <w:gridCol w:w="288"/>
        <w:gridCol w:w="987"/>
        <w:gridCol w:w="149"/>
        <w:gridCol w:w="109"/>
        <w:gridCol w:w="109"/>
        <w:gridCol w:w="109"/>
        <w:gridCol w:w="460"/>
        <w:gridCol w:w="1018"/>
        <w:gridCol w:w="239"/>
        <w:gridCol w:w="109"/>
        <w:gridCol w:w="109"/>
        <w:gridCol w:w="109"/>
        <w:gridCol w:w="268"/>
        <w:gridCol w:w="919"/>
        <w:gridCol w:w="203"/>
      </w:tblGrid>
      <w:tr>
        <w:trPr/>
        <w:tc>
          <w:tcPr>
            <w:tcW w:w="72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33,809 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$915 thousand and zero for the three months ended September 30, 2025 and 2024, respectively, and $938 thousand and zero for the nine months ended September 30, 2025 and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technology intangible assets are being amortized over five to 15 years, customer relationships over 25 years, and trade names over 10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future amortization expense of intangible assets as of September 30, 2025 is as follows (in thousands): </w:t>
      </w:r>
    </w:p>
    <w:tbl>
      <w:tblPr>
        <w:tblW w:w="5728" w:type="dxa"/>
        <w:jc w:val="left"/>
        <w:tblInd w:w="0" w:type="dxa"/>
        <w:tblLayout w:type="fixed"/>
        <w:tblCellMar>
          <w:top w:w="28" w:type="dxa"/>
          <w:left w:w="28" w:type="dxa"/>
          <w:bottom w:w="28" w:type="dxa"/>
          <w:right w:w="28" w:type="dxa"/>
        </w:tblCellMar>
      </w:tblPr>
      <w:tblGrid>
        <w:gridCol w:w="1334"/>
        <w:gridCol w:w="1176"/>
        <w:gridCol w:w="1179"/>
        <w:gridCol w:w="395"/>
        <w:gridCol w:w="1354"/>
        <w:gridCol w:w="290"/>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estimated future amortization expense</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32,871 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Assets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cash equivalents and short-term marketable securities that were measured at fair value on a recurring basis by level within the fair value hierarchy as of September 30, 2025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7718" w:type="dxa"/>
        <w:jc w:val="left"/>
        <w:tblInd w:w="0" w:type="dxa"/>
        <w:tblLayout w:type="fixed"/>
        <w:tblCellMar>
          <w:top w:w="28" w:type="dxa"/>
          <w:left w:w="28" w:type="dxa"/>
          <w:bottom w:w="28" w:type="dxa"/>
          <w:right w:w="28" w:type="dxa"/>
        </w:tblCellMar>
      </w:tblPr>
      <w:tblGrid>
        <w:gridCol w:w="988"/>
        <w:gridCol w:w="870"/>
        <w:gridCol w:w="872"/>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br/>
              <w:t>as of September 30,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10,004</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20,037</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34,090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There were no Level 1, 2 or 3 assets or liabilities as of December 31, 2024.</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Level 1 financial instruments is based on quoted market prices for identical instruments in active markets. The fair value of the Company’s Level 2 fixed income securities is obtained from independent pricing services, which may use quoted market prices for identical or comparable instruments in less active markets or model driven valuations using observable market data or inputs corroborated by observable market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Assets Measured at Fair Value on a Non-Recurring Basis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Company’s convertible notes, the Company recorded a derivative liability (see Note 8). The estimated fair value of the derivative liability was recorded using significant unobservable measures and other fair value inputs and is therefore classified as a Level 3 financial instrument.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was valued using a probability-weighted scenario analysis utilizing the terms of the notes under the with-or-without method. The Company determined a 100% probability of conversion into equity as the notes were converted into shares of the Company’s common stock upon the Offering in April 2024.</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Offering in April 2024, all the convertible notes, including principal and accrued interest, were converted into 2,104,562 shares of the Company’s common stock. Accordingly, the related derivative liability was converted into additional paid-in capital.</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MARKETABLE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cost or amortized cost, gross unrealized gain, gross unrealized loss, and fair value of the Company’s cash equivalents and marketable securities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9213" w:type="dxa"/>
        <w:jc w:val="left"/>
        <w:tblInd w:w="0" w:type="dxa"/>
        <w:tblLayout w:type="fixed"/>
        <w:tblCellMar>
          <w:top w:w="28" w:type="dxa"/>
          <w:left w:w="28" w:type="dxa"/>
          <w:bottom w:w="28" w:type="dxa"/>
          <w:right w:w="28" w:type="dxa"/>
        </w:tblCellMar>
      </w:tblPr>
      <w:tblGrid>
        <w:gridCol w:w="988"/>
        <w:gridCol w:w="870"/>
        <w:gridCol w:w="872"/>
        <w:gridCol w:w="384"/>
        <w:gridCol w:w="1503"/>
        <w:gridCol w:w="198"/>
        <w:gridCol w:w="109"/>
        <w:gridCol w:w="109"/>
        <w:gridCol w:w="109"/>
        <w:gridCol w:w="211"/>
        <w:gridCol w:w="406"/>
        <w:gridCol w:w="109"/>
        <w:gridCol w:w="109"/>
        <w:gridCol w:w="109"/>
        <w:gridCol w:w="109"/>
        <w:gridCol w:w="211"/>
        <w:gridCol w:w="406"/>
        <w:gridCol w:w="109"/>
        <w:gridCol w:w="109"/>
        <w:gridCol w:w="109"/>
        <w:gridCol w:w="109"/>
        <w:gridCol w:w="348"/>
        <w:gridCol w:w="1363"/>
        <w:gridCol w:w="2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71,296 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34,077 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187,868 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marketable securities with unrealized loss positions, the Company does not intend to sell these securities, and it is more likely than not that the Company will hold these securities until maturity or a recovery of the cost basis. No allowance for credit losses was recorded for these securities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PROPERTY AND EQUIPMENT,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property and equipment, net (in thousands):</w:t>
      </w:r>
    </w:p>
    <w:tbl>
      <w:tblPr>
        <w:tblW w:w="5620" w:type="dxa"/>
        <w:jc w:val="left"/>
        <w:tblInd w:w="0" w:type="dxa"/>
        <w:tblLayout w:type="fixed"/>
        <w:tblCellMar>
          <w:top w:w="28" w:type="dxa"/>
          <w:left w:w="28" w:type="dxa"/>
          <w:bottom w:w="28" w:type="dxa"/>
          <w:right w:w="28" w:type="dxa"/>
        </w:tblCellMar>
      </w:tblPr>
      <w:tblGrid>
        <w:gridCol w:w="1145"/>
        <w:gridCol w:w="767"/>
        <w:gridCol w:w="772"/>
        <w:gridCol w:w="264"/>
        <w:gridCol w:w="904"/>
        <w:gridCol w:w="136"/>
        <w:gridCol w:w="109"/>
        <w:gridCol w:w="109"/>
        <w:gridCol w:w="109"/>
        <w:gridCol w:w="253"/>
        <w:gridCol w:w="867"/>
        <w:gridCol w:w="185"/>
      </w:tblGrid>
      <w:tr>
        <w:trPr/>
        <w:tc>
          <w:tcPr>
            <w:tcW w:w="11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Robot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$1.1 million and $9 thousand for the three months ended September 30, 2025 and 2024, respectively, and $2.4 million and $37 thousand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NOTE PAYABLE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Note Payable – Related Party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issued a senior secured promissory note to its Chief Executive Officer for which Serve received $70 thousand in proceeds. The note bore interest at 7.67% per annum. The note was fully repaid on January 3,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January 2024 Convertible Note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January 2024, the Company issued to certain accredited investors convertible promissory notes in an aggregate amount of $5.0 million, for which the Company received $4.8 million in net proceeds (the “January Notes”). As a result, the Company incurred fees of $170 thousand which was recorded as a debt discount. The January Notes bore interest at a rate of 6.00% per year, compounded annually, and were due and payable upon request by each investor on or after the 12-month anniversary of the original issuance date of each note. The Company could not prepay or repay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January Notes in cash without the consent of the investors. The January Notes were to convert upon a qualified offering into the Company’s common stock at the lesser of the price paid per share multiplied by 75% or the quotient resulting from dividing $80.0 million by the outstanding shares of the Company’s common stock on a fully diluted basis prior to the financing (the “Conversion Price”). Upon the closing of the Offering in April 2024, the January Notes, including accrued interest, were converted into 2,104,562 shares of the Company’s common stock at a conversion price of $2.42 per share.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Company evaluated the terms of the conversion features of the January Notes as noted above in accordance with ASC 815-40 – Derivatives and Hedging – Contracts in Entity’s Own Stock</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and determined they are not indexed to the Company’s common stock and that the conversion feature, which is akin to a redemption feature, meets the definition of a liability. The January Notes contain an indeterminate number of shares to settle with conversion options outside of the Company’s control. Therefore, the Company bifurcated the conversion feature and accounted for it as a separate derivative liability. Upon issuance of the January Notes, the Company recognized a derivative liability at a fair value of $1.5 million, which was recorded as a debt discount and was amortized over the life of the January Notes. Upon the closing of the Offering, the derivative liability had a fair value of $1.7 million, which was reclassified to additional paid-in capital in connection with the conversion of the underlying the January Notes.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incurred no interest expense or aggregate debt discount pertaining to the January Notes, all of which were converted into shares of the Company’s common stock in April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the Offering in April 2024, the outstanding principal and accrued interest of the January Notes converted into 2,104,562 shares of the Company’s common stock. Accordingly, the related derivative liability was recorded into additional paid-in capital.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January Notes, the Company granted to the placement agent warrants (the “Convertible Promissory Notes Offering Warrants”) to purchase shares of the Company’s common stock equal to 10% of the number of shares of the Company’s common stock into which the January Notes sold to investors introduced by the placement agent were initially convertible. The Convertible Promissory Notes Offering Warrants are exercisable at the same price as the Conversion Price. Upon the closing of the Offering, the Company issued the Convertible Promissory Notes Offering Warrants to purchase up to 63,479 shares of the Company’s common stock at an exercise price of $2.42 per share. The Convertible Promissory Notes Offering Warrants expire on April 17, 2029 and include customary anti-dilution provisions. As of September 30, 2025, 63,479 of 63,479 warrants have been exercised into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 (DEFICIT)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share of the Company’s common stock entitles the holder to one vote on all matters submitted to a vote of the Company’s stockholders. Common stockholders are not entitled to receive dividends, unless declared by the Company’s board of directors (the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10,000,000 and 300,000,000 shares of preferred stock, par value $0.0001 per share, and common stock, par value $0.0001 per share,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applicable law and the rights and preferences, if any, of any holders of any outstanding series of preferred stock, the holders of the Company’s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the Company issued 10,000,000 shares of the Company’s common stock for gross proceeds of $40.0 million, or $4.00 per share, pursuant to the Offering. In connection with the Offering, the Company incurred $4.2 million in offering costs. In connection with the Offering, the Company issued to the underwriter warrants to purchase 500,000 shares of the Company’s common stock (the “Representative’s Warrant”). The Representative’s Warrant is exercisable at a per share exercise price equal to $5.00 and became exercisable at any time and from time to time, in whole or in part, on October 14, 2024. The Representative’s Warrant expires on April 17, 2029. As of September 30, 2025, the Representative’s Warrant has been fully exercised into shares of the Company’s common stock.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closing of the Offering, the January Notes converted into 2,104,562 shares of the Company’s common stock based upon a conversion price of $2.42 per share.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2024, the Company entered into a Securities Purchase Agreement (the “July Purchase Agreement”) with a certain accredited and institutional investor for a private placement offering of pre-funded warrants (the “July Pre-Funded Warrants”) to purchase shares of the Company’s common stock and warrants exercisable for shares of the Company’s common stock (the “July Investor Warrants”). Pursuant to the July Purchase Agreement, the Company sold 2,500,000 July Pre-Funded Warrants, with each July Pre-Funded Warrant exercisable for one share of the Company’s common stock, together with July Investor Warrants to purchase up to 2,500,000 shares of the Company’s common stock. Each July Pre-Funded Warrant and accompanying July Investor Warrant were sold together at a combined offering price of $5.9999. As of September 30, 2025, the July Pre-Funded Warrants and July Investor Warrants have been fully exercised into shares of the Company’s common stock. The Company received net proceeds of $13.7 million pursuant to the July Purchase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27, 2024, the Company entered into a Securities Purchase Agreement (the “August Purchase Agreement”) with a certain accredited and institutional investor for a private placement offering of pre-funded warrants (the “August Pre-Funded Warrants”) to purchase shares of the Company’s common stock and warrants exercisable for shares of the Company’s common stock (the “August Investor Warrants”). Pursuant to the August Purchase Agreement, the Company sold 555,555 August Pre-Funded Warrants, exercisable for one share of the Company’s common stock, together with the August Investor Warrants to purchase up to 555,555 shares of the Company’s common stock. Each August Pre-Funded Warrant and accompanying August Investor Warrant were sold together at a combined offering price of $8.9999. In connection with the transaction, July Investor Warrants were exercised in full for 2,500,000 shares of the Company’s common stock. In consideration for the immediate exercise in full of the existing warrants, the exercising holder received new warrants (the “August Exchange Warrants”) to purchase 2,200,000 shares of the Company’s common stock with an exercise price of $10.00 per share. As of September 30, 2025, the August Pre-Funded Warrants and August Investor Warrants have been fully exercised into shares of the Company’s common stock, and 1,200,000 out of 2,200,000 of the August Exchange Warrants have been exercised into shares of the Company’s common stock The Company received net proceeds of $18.6 million pursuant to the August Purchase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7, 2025, the Company entered into a securities purchase agreement with a certain institutional investor pursuant to which the Company agreed to issue and sell, in a registered direct offering an aggregate of 4,210,525 shares of the Company’s common stock at a price of $19.00 per share (the “January 2025 Registered Direct Offering”). The gross proceeds to the Company from the January 2025 Registered Direct Offering were approximately $80 million, before deducting the placement agents’ fees and other offering expenses payable by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entered into the Vayu Merger Agreement. The Company issued initial upfront consideration of 1,696,069 shares of its common stock, which is subject to customary purchase price adjustments. Additionally, the Company granted future earnout consideration consisting of up to 560,000 shares of common stock, contingent on the achievement of certain performance milestones. The Company also issued warrants to purchase 4,000,000 shares of common stock, with an exercise price of $10.36 per share (which amount is equal to the 10-day volume weighted average price of the Company’s common stock prior to the closing of the transaction), issued to a certain Vayu securityholder. As of September 30, 2025, 1,539,906 out of the 6,256,069 shares have been issued and are outstanding related to the deal consideration.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Common Stock and Restricted Stock Units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issued 338,121 shares of restricted common stock for recourse notes totaling $164 thousand. The shares were issued with a corresponding note receivable, a recourse loan that was collateralized by the underlying shares. The Company planned to enforce the recourse terms for the holders. As such, in accordance with ASC 505-10-45-2, the Company recognized a subscription receivable of $166 thousand, inclusive of interest on the note, which was included as a contra-equity on the consolidated balance sheets. The Company recorded a corresponding restricted stock award liability of $163 thousand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In June 2024, the Company forgave one recourse loan, and due to the lack of enforcement, the remaining loans were deemed non-recourse. Accordingly, the Company extinguished restricted stock award liability and the related subscription receivable related to loans previously classified as recourse loans. In accordance with ASC 718, these actions were deemed award modifications. The Company recognized $204 thousand in stock-based compensation related to the incremental value of the award and an additional $12 thousand related to the change in classification; all of which was included in general and administrative expense in the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50,178 shares of the Company’s common stock issued, that are subject to the non-recourse note and deemed not outstanding.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Vayu Merger Agreement (“Vayu Acquisition”), in August 2025, the Company granted 493,970 RSUs to certain employees as a retention equity award (“Retention RSUs”). The Retention RSUs vest over 4 years from the date of the consummation of the Vayu Acquisition with 25% of the Retention RSUs vesting on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issued 3,562,125 of restricted stock units (“RSUs”) with vesting periods ranging one month to four years. As of September 30, 2025, 1,759,877 RSUs vested and 7,544,402 RSUs remained outstanding and will vest over approximately 3.15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and 2024, the Company recorded stock-based compensation pertaining to vesting of restricted common stock and RSUs of $6.60 million and $1.00 million, respectively. During the nine months ended September 30, 2025 and 2024, the Company recorded stock-based compensation pertaining to vesting of restricted common stock and RSUs of $14.46 million and $1.92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restricted common stock and RSU activity for the nine months ended September 30, 2025: </w:t>
      </w:r>
    </w:p>
    <w:tbl>
      <w:tblPr>
        <w:tblW w:w="10205" w:type="dxa"/>
        <w:jc w:val="left"/>
        <w:tblInd w:w="0" w:type="dxa"/>
        <w:tblLayout w:type="fixed"/>
        <w:tblCellMar>
          <w:top w:w="28" w:type="dxa"/>
          <w:left w:w="28" w:type="dxa"/>
          <w:bottom w:w="28" w:type="dxa"/>
          <w:right w:w="28" w:type="dxa"/>
        </w:tblCellMar>
      </w:tblPr>
      <w:tblGrid>
        <w:gridCol w:w="720"/>
        <w:gridCol w:w="584"/>
        <w:gridCol w:w="588"/>
        <w:gridCol w:w="403"/>
        <w:gridCol w:w="376"/>
        <w:gridCol w:w="378"/>
        <w:gridCol w:w="133"/>
        <w:gridCol w:w="133"/>
        <w:gridCol w:w="133"/>
        <w:gridCol w:w="642"/>
        <w:gridCol w:w="1435"/>
        <w:gridCol w:w="305"/>
        <w:gridCol w:w="109"/>
        <w:gridCol w:w="109"/>
        <w:gridCol w:w="109"/>
        <w:gridCol w:w="492"/>
        <w:gridCol w:w="376"/>
        <w:gridCol w:w="378"/>
        <w:gridCol w:w="122"/>
        <w:gridCol w:w="122"/>
        <w:gridCol w:w="122"/>
        <w:gridCol w:w="611"/>
        <w:gridCol w:w="1400"/>
        <w:gridCol w:w="425"/>
      </w:tblGrid>
      <w:tr>
        <w:trPr/>
        <w:tc>
          <w:tcPr>
            <w:tcW w:w="7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2024</w:t>
            </w:r>
          </w:p>
        </w:tc>
        <w:tc>
          <w:tcPr>
            <w:tcW w:w="115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996,799</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5,362,326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3,562,125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Assumed in Vayu Acquisition</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493,970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(539,915)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(1,759,877)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(50,946)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(114,142)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2025</w:t>
            </w:r>
          </w:p>
        </w:tc>
        <w:tc>
          <w:tcPr>
            <w:tcW w:w="115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405,938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7,544,402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granted PRSUs. The PRSUs will vest or commence vesting upon achievement of the Milestone by the Milestone Date. In addition, the PRSUs may also subject to a continuous service condition. On the Milestone Date, approximately 66% of the PRSUs will vest, and the remaining 34% of PRSUs will vest over 2.5 years following the Milestone Date. The total grant date fair value of the PRSUs was $13.98 million, which is expected to be recognized at a point in time when achievement of the Milestone is considered probable, using management's best estimates, which consider the inherent risk and uncertainty regarding the future outcomes of the performance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components that comprise the Milestone have not been fully established, and therefore, probability is unable to be reasonably determined. Thus, the Company does not consider the achievement of the Milestone to be probable as of September 30, 2025. Accordingly, as of September 30, 2025, the Company does not recognize stock-based compensation expense, as defined by ASC 718. As of September 30, 2025, 1,440,001 shares of the PRSUs were unvested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reassess the probability and re-measure the compensation expense associated with the performance-based RSUs at each reporting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PRSU activity for the nine months ended September 30, 2025 is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9057" w:type="dxa"/>
        <w:jc w:val="left"/>
        <w:tblInd w:w="0" w:type="dxa"/>
        <w:tblLayout w:type="fixed"/>
        <w:tblCellMar>
          <w:top w:w="28" w:type="dxa"/>
          <w:left w:w="28" w:type="dxa"/>
          <w:bottom w:w="28" w:type="dxa"/>
          <w:right w:w="28" w:type="dxa"/>
        </w:tblCellMar>
      </w:tblPr>
      <w:tblGrid>
        <w:gridCol w:w="1114"/>
        <w:gridCol w:w="977"/>
        <w:gridCol w:w="983"/>
        <w:gridCol w:w="539"/>
        <w:gridCol w:w="539"/>
        <w:gridCol w:w="541"/>
        <w:gridCol w:w="230"/>
        <w:gridCol w:w="230"/>
        <w:gridCol w:w="230"/>
        <w:gridCol w:w="881"/>
        <w:gridCol w:w="2137"/>
        <w:gridCol w:w="656"/>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3"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Performance-Based Restricted Stock</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2024</w:t>
            </w:r>
          </w:p>
        </w:tc>
        <w:tc>
          <w:tcPr>
            <w:tcW w:w="16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1,440,001</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2025</w:t>
            </w:r>
          </w:p>
        </w:tc>
        <w:tc>
          <w:tcPr>
            <w:tcW w:w="16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1,440,001</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warrants for the nine months ended September 30, 2025:</w:t>
      </w:r>
    </w:p>
    <w:tbl>
      <w:tblPr>
        <w:tblW w:w="6355" w:type="dxa"/>
        <w:jc w:val="left"/>
        <w:tblInd w:w="0" w:type="dxa"/>
        <w:tblLayout w:type="fixed"/>
        <w:tblCellMar>
          <w:top w:w="28" w:type="dxa"/>
          <w:left w:w="28" w:type="dxa"/>
          <w:bottom w:w="28" w:type="dxa"/>
          <w:right w:w="28" w:type="dxa"/>
        </w:tblCellMar>
      </w:tblPr>
      <w:tblGrid>
        <w:gridCol w:w="1163"/>
        <w:gridCol w:w="1020"/>
        <w:gridCol w:w="1026"/>
        <w:gridCol w:w="348"/>
        <w:gridCol w:w="348"/>
        <w:gridCol w:w="353"/>
        <w:gridCol w:w="109"/>
        <w:gridCol w:w="109"/>
        <w:gridCol w:w="109"/>
        <w:gridCol w:w="380"/>
        <w:gridCol w:w="1112"/>
        <w:gridCol w:w="27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Warrants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Exercise Price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3,340,011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(2,260,717)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term of the warrants outstanding was 7.44 years as of September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Magna Warrant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1, 2024, Serve entered into a Master Services Agreement (the “MSA”) with Magna, retroactively effective as of January 15,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strategic partnership with Magna, on February 7, 2024, the Company issued to Magna a warrant (the “Magna Warrant”) to purchase up to 2,145,000 shares of the Company’s common stock (the “Magna Warrant Shares”), subject to at an exercise price of $0.01 per share. The Magna Warrant was issued pursuant to a production agreement executed in connection with the MSA between the parties in April 2024 whereby Magna will assist the Company in assembly of robotic delivery vehicles.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Magna Warrant is exercisable in two equal tranches: (i) the first tranche became exercisable in May 2024; and (ii) the second tranche became exercisable in December 2024. As of June 30, 2025, the Magna Warrant has been fully exercised into shares of the Company’s common stock. All warrants were fully vested and the Company recognized $8.6 million in stock-based compensation expense pertaining to these warrants as of December 31, 2024, based on the vesting conditions noted above. The Company recorded the expense to research and development expense in the consolidated statements of operations for the year ended December 31, 2024.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KV Warrants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Vayu Merger Agreement, upon the closing of the transaction, the Company also issued 4,000,000 warrants to a certain Vayu securityholder (the “Warrants”). Each Warrant entitles the holder to purchase one share of the Company’s common stock, subject to adjustment thereunder, at an exercise price of $10.36 per share (which amount is equal to the 10-day volume weighted average price of the common stock prior to the closing of the transaction). The Warrants contain customary terms and are exercisable at any time on or after August 15, 2029, and terminate on August 15, 2031. The Warrants were issued pursuant to an exemption from registration under Section 4(a)(2) of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At-the-Market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7, 2024, the Company entered into an Equity Distribution Agreement (the “2024 Distribution Agreement”) with Northland Securities, Inc., B. Riley Securities, Inc. and Ladenburg Thalmann &amp; Co. Inc. (collectively, the “2024 ATM Agents”) under which the Company may offer and sell, from time to time in its sole discretion, shares of the Company’s common stock, with aggregate gross sales proceeds of up to $100,000,000 through an “at the market” equity offering program. Under the 2024 Distribution Agreement, the Company will set the parameters for the sale of shares. Subject to the terms and conditions of the 2024 Distribution Agreement, the 2024 ATM Agents may sell the shares by methods deemed to be an “at the market” offering as defined in Rule 415 promulgated under the Securities Act. The 2024 Distribution Agreement provides that the Company will pay the 2024 ATM Agents a commission of up to 3% of the gross proceeds of any shares of the Company’s common stock sold through the 2024 ATM Agents under the 2024 Distribution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2024, the Company sold a total of 5,698,992 shares of the Company’s common stock under the 2024 Distribution Agreement at a weighted-average price of $14.04 per share and raised approximately $80 million of gross proceeds. After deducting approximately $2.4 million of commissions and offering costs incurred by the Company, the net proceeds from sales of the Company’s common stock was $77.6 million during the twelve months ended December 31, 2024. On March 5, 2025 the Company terminated the 2024 Distribution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March 6, 2025,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Agreement (the “2025 Distribution Agreement”) with Cantor Fitzgerald &amp; Co., Wedbush Securities Inc., Northland Securities, Inc., Ladenburg Thalmann &amp; Co. Inc. and Seaport Global Securities LLC (collectively, the “2025 ATM Agents”) under which the Company may offer and sell, from time to time in its sole discretion, shares of the Company’s common stock with aggregate gross sales proceeds of up to $150,000,000 through an “at the market” equity offering program. Under the 2025 Distribution Agreement, the Company will set the parameters for the sale of shares. Subject to the terms and conditions of the 2025 Distribution Agreement, the 2025 ATM Agents may sell the shares by methods deemed to be an “at the market” offering as defined in Rule 415 promulgated under the Securities Act. The 2025 Distribution Agreement provides that the Company will pay the Agents a commission of up to 3% of the gross proceeds of any shares of common stock sold through the 2025 ATM Agents under the 2025 Distribution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sold a total of 6,499,935 shares of the Company’s common stock under the 2025 Distribution Agreement at a weighted-average price of $12.49 per share and raised $81.2 million of gross proceeds. After deducting approximately $2.4 million of commissions and offering costs incurred by the Company, the net proceeds from sales of the Company’s common stock was $78.8 million during the nine months ended September 30, 2025. As of September 30, 2025, the Company had approximately $69 million of remaining capacity to sell the Company’s common stock under the 2025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2023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2023 Equity Incentive Plan (the “2023 Plan”) permits the grant of incentive stock options, nonstatutory stock options, stock appreciation rights (“SARs”), restricted stock, RSUs and stock bonus awards (all such types of awards, collectively, “stock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2023 Plan, the maximum aggregate number of shares of the Company’s common stock that may be issued under the 2023 Plan will not exceed 9,767,029 shares. As of September 30, 2025, there were approximately 230,321 shares available to be issued, including forfeited shares from predecessor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2023 Plan was amended, and the number of shares authorized under the 2023 Plan was increased by 2,280,000 additional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October 2025, the number of shares authorized under the 2023 Plan was increased by 3,289,146 additional shares, pursuant to the evergreen provisions under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may be authorized, but unissued, or reacquired common stock. Furthermore, subject to adjustments as set forth in the 2023 Plan, in no event shall the maximum aggregate number of shares that may be issued under the 2023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incentive stock options exceed the number set forth above plus, to the extent allowable under Section 422 of the Internal Revenue Code and the regulations promulgated thereunder, any shares that again become available for issuance pursuant to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2023 Plan may, at the discretion of our Board or a committee thereof, which committee will be constituted to satisfy applicable laws (“Plan Administrator”), be increased on October 1st of each fiscal year beginning with the 2023 fiscal year until the 2023 Plan terminates, in each case, in an amount equal to the lesser of (i) 4% of the shares of the Company’s common stock issued and outstanding on the last day of the immediately preceding month on a fully-diluted and as-converted basis and (ii) such other number of shares as determined by our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stock awards or awards or shares issued under the 2021 Plan that were assumed by the Company upon the closing of the Merger (“Existing Plan Awards”) are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2022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the Vayu 2022 Equity Incentive Plan (the “2022 Vayu Plan”) including the options outstanding immediately prior to the acquisition and the number of shares that remain available for issuance pursuant to the 2022 Vayu Plan, as adjusted by the exchange ratio for which such shares are exchangeable pursuant to the Vayu Merger Agreement. The 2022 Vayu Plan permits the grant of incentive stock options, nonstatutory stock options, SARs, restricted stock, RSUs, and stock bonus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2022 Vayu Plan, the maximum aggregate number of shares of the Company’s common stock that may be issued under the 2022 Vayu Plan will not exceed 5,344,275 shares. Subject to adjustments as set forth in the 2022 Vayu Plan, the maximum aggregate number of shares that may be issued under the 2022 Vayu Plan pursuant to incentive stock options may not exceed the number set forth above plus, to the extent allowable under Section 422 of the Internal Revenue Code and the regulations promulgated thereunder, any shares that again become available for issuance pursuant to the 2022 Vayu Plan. As of September 30, 2025, there were approximately 175,112 shares available to be issued under the 2022 Vayu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a stock award under the 2022 Vayu Plan should expire or be forfeited or become unexercisable for any reason without having been exercised in full, or is surrendered pursuant to an exchange program, the unissued shares that were subject thereto will continue to be available under the 2022 Vayu Plan for issuance pursuant to future stock awards. In addition, any shares which are retained by the Company upon exercise of a stock award in order to satisfy the exercise or purchase price for such stock award or any withholding taxes due with respect to such stock award will be treated as not issued and continue to be available under the 2022 Vayu Plan for issuance pursuant to future stock awards. Shares issued under the 2022 Vayu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be available for future grant under the 2022 Vayu Plan. To the extent a stock award under the 2022 Vayu Plan is paid out in cash rather than shares, such cash payment will not result in reducing the number of shares available for issuance under the 2022 Vayu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2022 Vayu Plan is administered by the Company’s board of directors or a committee thereof (the “2022 Vayu Plan Administrator”). The 2022 Vayu Plan Administrator has the authority to determine the terms and conditions of stock awards granted under the 2022 Vayu Plan, including the recipients, type of award, number of shares subject to each award, exercise or purchase price, vesting schedule, and other terms and conditions. Stock awards may be granted to employees, directors, and independent contractors of the Company and its affiliates. The 2022 Vayu Plan also provides for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certain corporate transactions, such as stock splits, mergers, or other changes in capitalization, and includes customary provisions regarding the administration, amendment, and termination of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Vayu 2025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certain equity awards that had been issued pursuant to the Vayu 2025 Equity Incentive Plan (the “2025 Vayu Plan”). In accordance with the Vayu Merger Agreement, the 2025 Vayu Plan was adopted and approved, and stockholder approval was obtained, prior to the closing of the acquisition. Prior to the closing, Vayu granted restricted stock units (“New Restricted Stock Units”) covering an equivalent of an aggregate of 1,373,971 shares of the Company's common stock to certain individuals who were expected to become continuing employees of the Company, pursuant to forms of award agreement reasonably approved by the Company. The New Restricted Stock Units were only effective for those individuals who accepted their awards by timely executing and returning the applicable award agreement prior to the closing date and who became continuing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New Restricted Stock Units and the closing of the acquisition, the 2025 Vayu Plan was terminated in accordance with the Vayu Merger Agreement, and no further awards will be granted under the 2025 Vayu Plan. The 2025 Vayu Plan permitted the grant of incentive stock options, nonstatutory stock options, restricted stock, restricted stock units, stock appreciation rights, and stock bonus awards. Subject to adjustments as set forth in the 2025 Vayu Plan, the maximum aggregate number of shares of the Company’s common stock that could have been issued under the 2025 Vayu Plan did not exceed 1,400,000 shares. Any shares subject to awards under the 2025 Vayu Plan that expired, were forfeited, or became unexercisable without having been exercised in full, or were surrendered pursuant to an exchange program, would have continued to be available for issuance under the plan prior to its termination. After the termination of the 2025 Vayu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2021 Stock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Serve’s 2021 Stock Plan (the “2021 Plan”) provides for the grant of stock options, SARs and restricted common shares to employees, non-employee directors, and non-employee consultants. The option exercise price generally may not be less than the underlying stock’s fair market value at the date of the grant and generally have a term of ten years. The amount granted each calendar year to an employee or non-employee is limited depending on the type of award. Stock options granted under the 2021 Plan typically vest over a four-year period, with a one-year cliff, as well as via specified milestones.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information related to stock options for the nine months ended September 30, 2025 is as follows:</w:t>
      </w:r>
    </w:p>
    <w:p>
      <w:pPr>
        <w:pStyle w:val="TextBody"/>
        <w:bidi w:val="0"/>
        <w:spacing w:before="240" w:after="283"/>
        <w:jc w:val="both"/>
        <w:rPr/>
      </w:pPr>
      <w:r>
        <w:rPr/>
      </w:r>
    </w:p>
    <w:tbl>
      <w:tblPr>
        <w:tblW w:w="8641" w:type="dxa"/>
        <w:jc w:val="left"/>
        <w:tblInd w:w="0" w:type="dxa"/>
        <w:tblLayout w:type="fixed"/>
        <w:tblCellMar>
          <w:top w:w="28" w:type="dxa"/>
          <w:left w:w="28" w:type="dxa"/>
          <w:bottom w:w="28" w:type="dxa"/>
          <w:right w:w="28" w:type="dxa"/>
        </w:tblCellMar>
      </w:tblPr>
      <w:tblGrid>
        <w:gridCol w:w="1680"/>
        <w:gridCol w:w="1473"/>
        <w:gridCol w:w="1482"/>
        <w:gridCol w:w="309"/>
        <w:gridCol w:w="309"/>
        <w:gridCol w:w="313"/>
        <w:gridCol w:w="109"/>
        <w:gridCol w:w="109"/>
        <w:gridCol w:w="109"/>
        <w:gridCol w:w="338"/>
        <w:gridCol w:w="821"/>
        <w:gridCol w:w="176"/>
        <w:gridCol w:w="109"/>
        <w:gridCol w:w="109"/>
        <w:gridCol w:w="109"/>
        <w:gridCol w:w="211"/>
        <w:gridCol w:w="72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Intrinsic</w:t>
              <w:br/>
              <w:t>Value</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93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7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12,843 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93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at September 30, 2025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weighted average duration to expiration of outstanding options was 6.73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stock options of $8 thousand and $69 thousand was recognized for the three months ended September 30, 2025 and 2024, respectively. Stock-based compensation expense for stock options of $462 thousand and $284 thousand was recognized for the nine months ended September 30, 2025 and 2024, respectively.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unrecognized compensation cost related to non-vested stock option awards amounted to approximately $126 thousand as of September 30, 2025, which will be recognized over a weighted average period of 1.17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Classification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and restricted common stock and restricted stock units (Note 9) was classified in the statements of operations as follows (in thousands):</w:t>
      </w:r>
    </w:p>
    <w:tbl>
      <w:tblPr>
        <w:tblW w:w="7184"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Leases – Right of Use Asset and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leases for office, warehouse space, and cargo vans.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lease costs by financial statement line item are as follows (in thousands):</w:t>
      </w:r>
    </w:p>
    <w:tbl>
      <w:tblPr>
        <w:tblW w:w="8772" w:type="dxa"/>
        <w:jc w:val="left"/>
        <w:tblInd w:w="0" w:type="dxa"/>
        <w:tblLayout w:type="fixed"/>
        <w:tblCellMar>
          <w:top w:w="28" w:type="dxa"/>
          <w:left w:w="28" w:type="dxa"/>
          <w:bottom w:w="28" w:type="dxa"/>
          <w:right w:w="28" w:type="dxa"/>
        </w:tblCellMar>
      </w:tblPr>
      <w:tblGrid>
        <w:gridCol w:w="525"/>
        <w:gridCol w:w="463"/>
        <w:gridCol w:w="467"/>
        <w:gridCol w:w="889"/>
        <w:gridCol w:w="889"/>
        <w:gridCol w:w="892"/>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Type</w:t>
            </w:r>
          </w:p>
        </w:tc>
        <w:tc>
          <w:tcPr>
            <w:tcW w:w="2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10205" w:type="dxa"/>
        <w:jc w:val="left"/>
        <w:tblInd w:w="0" w:type="dxa"/>
        <w:tblLayout w:type="fixed"/>
        <w:tblCellMar>
          <w:top w:w="28" w:type="dxa"/>
          <w:left w:w="28" w:type="dxa"/>
          <w:bottom w:w="28" w:type="dxa"/>
          <w:right w:w="28" w:type="dxa"/>
        </w:tblCellMar>
      </w:tblPr>
      <w:tblGrid>
        <w:gridCol w:w="1974"/>
        <w:gridCol w:w="1713"/>
        <w:gridCol w:w="171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6"/>
      </w:tblGrid>
      <w:tr>
        <w:trPr/>
        <w:tc>
          <w:tcPr>
            <w:tcW w:w="197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w:t>
      </w:r>
    </w:p>
    <w:tbl>
      <w:tblPr>
        <w:tblW w:w="7384" w:type="dxa"/>
        <w:jc w:val="left"/>
        <w:tblInd w:w="0" w:type="dxa"/>
        <w:tblLayout w:type="fixed"/>
        <w:tblCellMar>
          <w:top w:w="28" w:type="dxa"/>
          <w:left w:w="28" w:type="dxa"/>
          <w:bottom w:w="28" w:type="dxa"/>
          <w:right w:w="28" w:type="dxa"/>
        </w:tblCellMar>
      </w:tblPr>
      <w:tblGrid>
        <w:gridCol w:w="511"/>
        <w:gridCol w:w="449"/>
        <w:gridCol w:w="449"/>
        <w:gridCol w:w="449"/>
        <w:gridCol w:w="449"/>
        <w:gridCol w:w="449"/>
        <w:gridCol w:w="449"/>
        <w:gridCol w:w="449"/>
        <w:gridCol w:w="467"/>
        <w:gridCol w:w="109"/>
        <w:gridCol w:w="109"/>
        <w:gridCol w:w="109"/>
        <w:gridCol w:w="290"/>
        <w:gridCol w:w="290"/>
        <w:gridCol w:w="724"/>
        <w:gridCol w:w="109"/>
        <w:gridCol w:w="109"/>
        <w:gridCol w:w="109"/>
        <w:gridCol w:w="266"/>
        <w:gridCol w:w="266"/>
        <w:gridCol w:w="77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21"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r>
      <w:tr>
        <w:trPr/>
        <w:tc>
          <w:tcPr>
            <w:tcW w:w="412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7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Future annual minimum payments under operating leases as of September 30, 2025,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tbl>
      <w:tblPr>
        <w:tblW w:w="4101" w:type="dxa"/>
        <w:jc w:val="left"/>
        <w:tblInd w:w="0" w:type="dxa"/>
        <w:tblLayout w:type="fixed"/>
        <w:tblCellMar>
          <w:top w:w="28" w:type="dxa"/>
          <w:left w:w="28" w:type="dxa"/>
          <w:bottom w:w="28" w:type="dxa"/>
          <w:right w:w="28" w:type="dxa"/>
        </w:tblCellMar>
      </w:tblPr>
      <w:tblGrid>
        <w:gridCol w:w="1129"/>
        <w:gridCol w:w="992"/>
        <w:gridCol w:w="999"/>
        <w:gridCol w:w="211"/>
        <w:gridCol w:w="61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cash flows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Finance Lease – Failed Sales-Leaseback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 lease agreement with Farnam Capital for its robot assets. As per ASC 842-40-25, the transaction was considered a failed sales-leaseback and therefore the lease was accounted for as a financing agreement. There was no outstanding liability at September 30, 2025. In April 2025, the Company exercised the option to purchase the assets at the end of the lease for $2.25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a party to litigation and subject to claims incidental to its business. Although the results of litigation and claims cannot be predicted with certainty, the Company currently believes that the final outcome of ongoing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2024, a class action complaint was filed in the Superior Court of California, County of Los Angeles, alleging that the Company is in violation of the California Labor Code, among other allegations. This action is seeking restitutionary damages. It is a reasonable possibility that a loss may be incurred; however, the possible range of losses is not estimable given the status of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A description of how the Company derives revenues is included in Note 2. The Company’s Chief Executive Officer serves as the Company’s CODM, who reviews financial information on a consolidated basis for purposes of making operating decisions, allocating resources, and evaluating financial performance. The CODM uses consolidated net loss as the sole measure of segment profit or loss to make key operating decisions such as the allocation of the budget and monitoring budget versus actual results. The CODM does not evaluate operating segments using asset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net loss include cost of revenue, general and administrative, operations, research and development, sales and marketing, which are each separately presented on the Company’s consolidated statements of operations. Stock-based compensation expense is also a significant expense within net loss. Refer to Note 10 for additional information about the Company’s stock-based compensation expense. Other segment items include interest income, interest expense, and provision for (benefit from) income taxes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the Company entered into a securities purchase agreement with certain institutional investors pursuant to which the Company agreed to issue and sell, in a registered direct offering of an aggregate of 6,250,000 shares of the Company’s common stock at a price of $16.00 per share (the “October 2025 Registered Direct Offering”). The gross proceeds to the Company from the October 2025 Registered Direct Offering were approximately $100 million, before deducting the placement agents’ fees and other offering expenses payable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RESULTS OF OPERATIONS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of the financial condition and results of operations of the Company should be read in conjunction with the financial statements and the notes to those statements included in this Quarterly Report on Form 10-Q and our audited consolidated financial statements and related notes disclosed in our Annual Report on Form 10-K for the year ended December 31, 2024. Some of the information contained in this discussion and analysis including information with respect to our plans and strategy for our business, includes forward-looking statements that involve risk, uncertainties and assumptions. You should read Part II, Item 1A. Risk Factors of this report for a discussion of important factors that could cause actual results to differ materially from the results described in or implied by the forward-looking statements contained in the following discussion and analysis. Please also see the note entitled “Cautionary Note Regarding Forward-Looking Statements”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Our Company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on a mission to deliver a sustainable future by transforming how goods move among people. Serve has developed an advanced, AI-powered robotics mobility platform, with last-mile delivery in cities as its first application. We are an operating company which has experienced losses since our inception. Our primary sources of cash to date have been capital investments by stockholders.</w:t>
      </w:r>
    </w:p>
    <w:p>
      <w:pPr>
        <w:pStyle w:val="TextBody"/>
        <w:bidi w:val="0"/>
        <w:spacing w:lineRule="auto" w:line="288" w:before="200" w:after="283"/>
        <w:jc w:val="both"/>
        <w:rPr/>
      </w:pPr>
      <w:r>
        <w:rPr>
          <w:rFonts w:ascii="Times New Roman;serif" w:hAnsi="Times New Roman;serif"/>
          <w:b w:val="false"/>
          <w:color w:val="000000"/>
          <w:sz w:val="20"/>
        </w:rPr>
        <w:t>The following discussion contains forward-looking statements, as discussed elsewhere in this Quarterly Report on Form 10-Q. Please see the section entitled “</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color w:val="000000"/>
          <w:sz w:val="20"/>
        </w:rPr>
        <w:t>in this Quarterly Report on Form 10-Q for a discussion of the uncertainties, risks and assumptions associated with these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principal offices are located at 730 Broadway, Redwood City, CA 94063, our telephone number is (818) 860-1352 and our corporate website (which does not form part of this Quarterly Report on Form 10-Q) is located at www.serverobotics.com.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31, 2023, the Company, Acquisition Sub, and Serve entered into an Agreement and Plan of Merger (the “Merger Agreement”). Pursuant to the terms of the Merger Agreement, Acquisition Sub merged with and into Serve, with Serve continuing as the surviving corporation and our wholly-owned subsidiary. As a result of the Merger, we acquired the business of Serve and continued the existing business operations of Serve as a public reporting company under the name Serve Robotics Inc. Upon the closing of the Merger, Serve’s predecessor was renamed Serve Operating Co.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is not pertinent, and under applicable accounting principles, the historical financial results of Serve, the accounting acquirer prior to the Merger, are considered our historical financial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are organized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Executive Summary – Summary analysis of financial and other highlights to provide context for the discussion and analysis.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Results of Operations – An analysis of our financial results.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Liquidity, and Capital Resources – An analysis of changes in our balance sheets and cash flows and a discussion of our financial condition and potential sources of liquidity.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i/>
          <w:color w:val="000000"/>
          <w:sz w:val="20"/>
        </w:rPr>
        <w:t>Critical Accounting Estimates – Accounting estimates that management believes are the most important to understanding the assumptions and judgments incorporated in our financial results and forecasts and involve a significant level of estimation uncertainty.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Serve Robotics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Serve is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started this project within a food delivery company, our team comes with a depth of combined expertise in food delivery, automation, and robotics.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expertise positions us to service the growing on-demand delivery market, including food delivery, where approximately half of all deliveries are less than 2.5 miles and well-suited to delivery by sidewalk robots. We provide a robotic delivery experience that delights customers, improves reliability for merchants, and reduces traffic congestion and eliminates vehicle emissions. At scale, our delivery robots can complete deliveries at lower cost than human couriers, making on-demand delivery more affordable and accessible in areas we operate.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Vayu Robotics,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acquired all of the issued and outstanding equity of Vayu Robotics, Inc., which was accounted for under the acquisition method of accounting. Refer to the “Liquidity and Capital Resources” section for discussion on the purchase price and the Acquisition's impact on Serve's liquidity.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Voysys AB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1, 2025, the Company acquired all of the issued and outstanding equity of Voysys AB, which was accounted for under the acquisition method of accounting. Refer to the “Liquidity and Capital Resources” section for discussion on the purchase price and the Acquisition’s impact on Company’s liquidity.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Securities Purchase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7, 2025, we entered into a securities purchase agreement with a certain institutional investor, pursuant to which the Company agreed to issue and sell, in a registered direct offering an aggregate of 4,210,525 shares of the Company’s common stock at a price of $19.00 per share. The gross proceeds to the Company from the January 2025 Registered Direct Offering were approximately $80 million, before deducting the placement agents’ fees and other offering expenses payable by the Company.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Public Offering and Uplisting to Nasdaq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17, 2024, we entered into the Underwriting Agreement with the Underwriter in connection with the Offering. The Company’s net proceeds from the Offering, after deducting the underwriting discount and other estimated offering expenses payable by the Company, were approximately $35.8 million. As a result of the Offering, the Company’s common stock was approved for listing on The Nasdaq Capital Market and commenced trading under the ticker symbol “SERV” beginning on April 18,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License and Services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20, 2024, Serve entered into a License and Services Agreement (the “LSA”) with Magna as a part of a strategic partnership with Magna. Pursuant to the LSA, Serve, as an independent contractor of Magna, agreed to (i) grant a non-exclusive royalty-free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Master Services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 2024, Serve entered into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SOW on the Effective Date. The term of the MSA commenced on the Effective Date and will continue for a term of three months, unless terminated earlier or mutually extended in accordance with its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strategic partnership with Magna, on February 7, 2024, we issued the Magna Warrant to purchase up to 2,145,000 shares of the Company’s common stock, subject to adjustments as provided therein, at an exercise price of $0.01 per share. The Magna Warrant was issued pursuant to a production agreement executed in connection with the MSA between the parties in April 2024 whereby Magna will assist the Company in assembly of robotic delivery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Magna Warrant is exercisable in two equal tranches: (i) the first tranche became exercisable in May 2024; and (ii) the second tranche became exercisable in December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Magna Warrant Shares that may be issued pursuant to the exercise of the Magna Warrant were offered and sold in a transaction exempt from registration under the Securities Act in reliance on Section 4(a)(2) of the Securities Act.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Outlook And Challenges Facing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a number of industry factors that affect our business which include, among others:</w:t>
      </w:r>
    </w:p>
    <w:p>
      <w:pPr>
        <w:pStyle w:val="TextBody"/>
        <w:bidi w:val="0"/>
        <w:spacing w:lineRule="auto" w:line="288" w:before="240" w:after="283"/>
        <w:jc w:val="both"/>
        <w:rPr/>
      </w:pPr>
      <w:r>
        <w:rPr>
          <w:rFonts w:ascii="Times New Roman;serif" w:hAnsi="Times New Roman;serif"/>
          <w:b w:val="false"/>
          <w:i/>
          <w:color w:val="000000"/>
          <w:sz w:val="20"/>
        </w:rPr>
        <w:t>Overall Demand for Last-Mile Delivery on Partner Platforms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pStyle w:val="TextBody"/>
        <w:bidi w:val="0"/>
        <w:spacing w:lineRule="auto" w:line="288" w:before="240" w:after="283"/>
        <w:jc w:val="both"/>
        <w:rPr/>
      </w:pPr>
      <w:r>
        <w:rPr>
          <w:rFonts w:ascii="Times New Roman;serif" w:hAnsi="Times New Roman;serif"/>
          <w:b w:val="false"/>
          <w:i/>
          <w:color w:val="000000"/>
          <w:sz w:val="20"/>
        </w:rPr>
        <w:t>Customer Concentration</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three customers, Customer A, Customer B, and Customer 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A accounted for 43% and 78% of our total revenue, respectively. For the nine months ended September 30, 2025 and 2024, sales to Customer A accounted for 34% and 22%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B accounted for 27% and none of our total revenue, respectively. For the nine months ended September 30, 2025 and 2024, sales to Customer B accounted for 10% and none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and 2024, sales to Customer C accounted for &lt; 10% and 17% of our total revenue, respectively. For the nine months ended September 30, 2025 and 2024, sales to Customer C accounted for 27% and 72% of our total revenue,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is concentrated with three customers, Customer A, Customer B, Customer C, and Customer 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Customer C and Customer B accounted for 55% and 20% of our accounts receivable, respectively. As of December 31, 2024, Customer D and Customer A accounted for 86% and 12% of our accounts receivable,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inherent risks whenever a large percentage of total revenues and accounts receivable are concentrated with a limited number of customers. The loss of any or all of these customers could have a negative impact on our planned operations.</w:t>
      </w:r>
    </w:p>
    <w:p>
      <w:pPr>
        <w:pStyle w:val="TextBody"/>
        <w:bidi w:val="0"/>
        <w:spacing w:lineRule="auto" w:line="288" w:before="240" w:after="283"/>
        <w:jc w:val="both"/>
        <w:rPr/>
      </w:pPr>
      <w:r>
        <w:rPr>
          <w:rFonts w:ascii="Times New Roman;serif" w:hAnsi="Times New Roman;serif"/>
          <w:b w:val="false"/>
          <w:i/>
          <w:color w:val="000000"/>
          <w:sz w:val="20"/>
        </w:rPr>
        <w:t>Inflation and Market Considerations; Availability of Materials, Labor &amp; Services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most on-demand purchases as discretionary spending for consumers, and we are therefore susceptible to changes in discretionary spending patterns and economic slowdowns in the geographic areas in which merchants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partners’ platforms operate and in the economy at large. Discretionary consumer spending can be impacted by general economic conditions, unemployment, consumer debt, inflation, gasoline prices, interest rates, consumer confidence and other macroeconomic factors. Inflation can lead to increased cost of material and labor for restaurants and merchants who may in turn raise prices on the items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pStyle w:val="TextBody"/>
        <w:bidi w:val="0"/>
        <w:spacing w:lineRule="auto" w:line="288" w:before="240" w:after="283"/>
        <w:jc w:val="both"/>
        <w:rPr/>
      </w:pPr>
      <w:r>
        <w:rPr>
          <w:rFonts w:ascii="Times New Roman;serif" w:hAnsi="Times New Roman;serif"/>
          <w:b w:val="false"/>
          <w:i/>
          <w:color w:val="000000"/>
          <w:sz w:val="20"/>
        </w:rPr>
        <w:t>Intellectual Property</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Supply Chain Constraints.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be sure whether global supply chain shortages will impact our future robot build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Governmental and Regulatory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revenue currently consists of software services revenues and fleet services revenues.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Cost of Revenue and Operating Expenses</w:t>
      </w:r>
    </w:p>
    <w:p>
      <w:pPr>
        <w:pStyle w:val="TextBody"/>
        <w:bidi w:val="0"/>
        <w:spacing w:lineRule="auto" w:line="288" w:before="200" w:after="283"/>
        <w:jc w:val="both"/>
        <w:rPr/>
      </w:pPr>
      <w:r>
        <w:rPr>
          <w:rFonts w:ascii="Times New Roman;serif" w:hAnsi="Times New Roman;serif"/>
          <w:b/>
          <w:i/>
          <w:color w:val="000000"/>
          <w:sz w:val="20"/>
        </w:rPr>
        <w:t xml:space="preserve">Cost of revenue. </w:t>
      </w:r>
      <w:r>
        <w:rPr>
          <w:rFonts w:ascii="Times New Roman;serif" w:hAnsi="Times New Roman;serif"/>
          <w:b w:val="false"/>
          <w:color w:val="000000"/>
          <w:sz w:val="20"/>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its robots while in service.</w:t>
      </w:r>
    </w:p>
    <w:p>
      <w:pPr>
        <w:pStyle w:val="TextBody"/>
        <w:bidi w:val="0"/>
        <w:spacing w:lineRule="auto" w:line="288" w:before="200" w:after="283"/>
        <w:jc w:val="both"/>
        <w:rPr/>
      </w:pPr>
      <w:r>
        <w:rPr>
          <w:rFonts w:ascii="Times New Roman;serif" w:hAnsi="Times New Roman;serif"/>
          <w:b/>
          <w:i/>
          <w:color w:val="000000"/>
          <w:sz w:val="20"/>
        </w:rPr>
        <w:t>Operations</w:t>
      </w:r>
      <w:r>
        <w:rPr>
          <w:rFonts w:ascii="Times New Roman;serif" w:hAnsi="Times New Roman;serif"/>
          <w:b w:val="false"/>
          <w:color w:val="000000"/>
          <w:sz w:val="20"/>
        </w:rPr>
        <w:t>. Operations consist of lease expense for facilities and certain field operations personnel to support fleet services. The Company considers these expenses to be indirect costs to deliver fleet services.</w:t>
      </w:r>
    </w:p>
    <w:p>
      <w:pPr>
        <w:pStyle w:val="TextBody"/>
        <w:bidi w:val="0"/>
        <w:spacing w:lineRule="auto" w:line="288" w:before="200" w:after="283"/>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Costs incurred in the research and development of the Company’s products are expensed as incurred. Research and development costs include product design, hardware and software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Sales and Marketing.</w:t>
      </w:r>
      <w:r>
        <w:rPr>
          <w:color w:val="000000"/>
        </w:rPr>
        <w:t xml:space="preserve"> </w:t>
      </w:r>
      <w:r>
        <w:rPr>
          <w:rFonts w:ascii="Times New Roman;serif" w:hAnsi="Times New Roman;serif"/>
          <w:b w:val="false"/>
          <w:color w:val="000000"/>
          <w:sz w:val="20"/>
        </w:rPr>
        <w:t>Sales and marketing expenses include personnel costs and public relations expenses. Advertising costs are expensed as incurred and included in sales and marketing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General and Administrative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General and administrative expenses primarily consist of personnel-related expenses for executive management and administrative functions, including finance and accounting, legal and human resources,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general corporate expenses and general insurance. General and administrative expenses also include depreciation on property and equipment as well as amortization of right of use assets. </w:t>
      </w:r>
    </w:p>
    <w:p>
      <w:pPr>
        <w:pStyle w:val="TextBody"/>
        <w:bidi w:val="0"/>
        <w:spacing w:lineRule="auto" w:line="288" w:before="200" w:after="283"/>
        <w:jc w:val="both"/>
        <w:rPr/>
      </w:pPr>
      <w:r>
        <w:rPr>
          <w:rFonts w:ascii="Times New Roman;serif" w:hAnsi="Times New Roman;serif"/>
          <w:b/>
          <w:i/>
          <w:color w:val="000000"/>
          <w:sz w:val="20"/>
        </w:rPr>
        <w:t xml:space="preserve">Interest Income. </w:t>
      </w:r>
      <w:r>
        <w:rPr>
          <w:rFonts w:ascii="Times New Roman;serif" w:hAnsi="Times New Roman;serif"/>
          <w:b w:val="false"/>
          <w:color w:val="000000"/>
          <w:sz w:val="20"/>
        </w:rPr>
        <w:t>Interest income consists of interest earned on our cash and cash equivalents, restricted cash and cash equivalents and marketable securities.</w:t>
      </w:r>
    </w:p>
    <w:p>
      <w:pPr>
        <w:pStyle w:val="TextBody"/>
        <w:bidi w:val="0"/>
        <w:spacing w:lineRule="auto" w:line="288" w:before="200" w:after="283"/>
        <w:jc w:val="both"/>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consists of stated rates of interest on financing instruments, fees incurred related to financing instruments or accretion of debt discounts.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we generated revenues of $687 thousand and $222 thousand, respectively, and reported net losses of $33.0 million and $8.0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noted in our unaudited condensed consolidated financial statements, as of September 30, 2025, we had an accumulated deficit of $174.6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Results of Operations for the three months ended September 30,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statements of operations during the three months ended September 30, 2025 and 2024, respectively, and provides information regarding the dollar and percentage increase (or decrease) during such periods (in thousands). </w:t>
      </w:r>
    </w:p>
    <w:tbl>
      <w:tblPr>
        <w:tblW w:w="9204" w:type="dxa"/>
        <w:jc w:val="left"/>
        <w:tblInd w:w="0" w:type="dxa"/>
        <w:tblLayout w:type="fixed"/>
        <w:tblCellMar>
          <w:top w:w="28" w:type="dxa"/>
          <w:left w:w="28" w:type="dxa"/>
          <w:bottom w:w="28" w:type="dxa"/>
          <w:right w:w="28" w:type="dxa"/>
        </w:tblCellMar>
      </w:tblPr>
      <w:tblGrid>
        <w:gridCol w:w="1375"/>
        <w:gridCol w:w="1206"/>
        <w:gridCol w:w="1214"/>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85"/>
        <w:gridCol w:w="286"/>
        <w:gridCol w:w="61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increased $0.47 million to $0.69 million for the three months ended September 30, 2025, compared to $0.22 million for the same period in 2024. This increase was primarily due to a larger fleet, which resulted in fleet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increasing by $0.25 million to $0.43 million for the three months ended September 30, 2025, compared to $0.18 million for the same period in 2024. The additional increase was due to software services revenue increasing by $0.22 million to $0.25 million for the three months ended September 30, 2025, compared to $0.04 million for the same period in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$4.69 million to $5.07 million for the three months ended September 30, 2025, compared with $0.38 million for the same period in 2024, due to costs related to scale-up of our fleet and launch related costs in new markets of $3.96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$11.17 million to $13.15 million for the three months ended September 30, 2025, from $1.98 million for the same period in 2024, due primarily to an increase of $2.92 million in professional fees that largely included acquisition related transaction costs and corporate expansion related fees, stock-based compensation expense of $3.71 million, and $1.82 million due to increased employee headcount. The remaining $2.73 million is primarily the result of increased incremental operating expenses as we scale for expanded locations and workforce.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expenses increased $2.07 million to $2.99 million for the three months ended September 30, 2025, from $0.92 million for the same period in 2024, $1.10 million due to increased employee headcount, and facility costs of $0.35 million from expansion locations.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$8.41 million to $13.41 million for the three months ended September 30, 2025, from $5.01 million for the same period in 2024, due primarily to an increase of headcount expenses of $4.75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$0.50 million to $0.88 million for the three months ended September 30, 2025, from $0.38 million for the same period in 2024, due to an increase in headcount expenses of $0.28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$1.22 million to $1.71 million for the three months ended September 30, 2025, from income of $0.48 million for the same period in 2024 as a result of interest earned from cash on hand and marketable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amortization decreased $0.03 million to zero for the three months ended September 30, 2025, from the expense of $0.03 million for the same period in 2024, as the prior period expense was related to amortization of debt discount.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Realized gain on foreign currency translation had a negligible increase from the translation of the Company’s non-U.S. transactions to U.S. dollars.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 on investments increased $0.09 million to $0.09 million for the three months ended September 30, 2025, from income of zero for the same period in 2024 as a result of recognized gains from marketable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Comparison of Results of Operations for the nine months ended September 30, 2025</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statements of operations during the nine months ended September 30, 2025 and 2024, respectively, and provides information regarding the dollar and percentage increase (or decrease) during such periods (in thousands). </w:t>
      </w:r>
    </w:p>
    <w:tbl>
      <w:tblPr>
        <w:tblW w:w="9384" w:type="dxa"/>
        <w:jc w:val="left"/>
        <w:tblInd w:w="0" w:type="dxa"/>
        <w:tblLayout w:type="fixed"/>
        <w:tblCellMar>
          <w:top w:w="28" w:type="dxa"/>
          <w:left w:w="28" w:type="dxa"/>
          <w:bottom w:w="28" w:type="dxa"/>
          <w:right w:w="28" w:type="dxa"/>
        </w:tblCellMar>
      </w:tblPr>
      <w:tblGrid>
        <w:gridCol w:w="1375"/>
        <w:gridCol w:w="1206"/>
        <w:gridCol w:w="121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23"/>
        <w:gridCol w:w="323"/>
        <w:gridCol w:w="61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increased $0.13 million to $1.77 million for the nine months ended September 30, 2025, compared to $1.64 million for the same period in 2024. As a result of a larger fleet, the Company recognized increases in fleet services revenues of $0.52 million to $0.97 million for the nine months ended September 30, 2025, compared to $0.45 million for the same period in 2024. Offsetting this increase was a decrease in software services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$9.42 million to $10.48 million for the nine months ended September 30, 2025, compared with $1.06 million for the same period in 2024, due to costs related to scale-up of our fleet and launch related costs in new markets of $7.58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$21.12 million to $25.98 million for the nine months ended September 30, 2025, from $4.86 million for the same period in 2024, due to an increase in stock-based compensation expense of $6.70 million, increase in headcount expenses of $3.99 million, and $2.83 million in professional fees that largely included acquisition related transaction costs and corporate expansion related fees, and $2.25 million finance lease purchases. The remaining $5.35 million is primarily the result of increased incremental operating expenses as we scale for expanded locations and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expenses increased $4.45 million to $6.78 million for the nine months ended September 30, 2025, from $2.33 million for the same period in 2024, due to an increase in headcount expenses of $1.84 million, increase in stock-based compensation expense of $0.32 million, and an increase in facility costs of $0.81 million from expansion locations.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$11.98 million for the nine months ended September 30, 2025 to $29.41 million, compared to $17.43 million for the same period in 2024, due primarily to an increase of headcount expenses of $8.94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$0.92 million to $1.59 million for the nine months ended September 30, 2025, from $0.67 million for the same period in 2024, due to an increase in headcount expenses of $0.51 million and marketing expenses of $0.11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$4.50 million to $5.29 million for the nine months ended September 30, 2025, from $0.79 million for the same period in 2024 as a result of interest earned from cash on hand and marketable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amortization decreased $1.92 million to zero for the nine months ended September 30, 2025, from the expense of $1.93 million for the same period in 2024, as the prior period expense was related to amortization of debt discount.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Realized gain on foreign currency translation had a negligible increase from the translation of the Company’s non-U.S. transactions to U.S. dollars.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Realized gain on investments increased $0.09 million to $0.09 million for the three months ended September 30, 2025, from income of zero for the same period in 2024 as a result of recognized gains from marketable securities.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regularly review the following key business metrics to evaluate our business, measure our performance, identify trends affecting our business, formulate business plans and make strategic decisions:</w:t>
      </w:r>
    </w:p>
    <w:tbl>
      <w:tblPr>
        <w:tblW w:w="9230" w:type="dxa"/>
        <w:jc w:val="left"/>
        <w:tblInd w:w="0" w:type="dxa"/>
        <w:tblLayout w:type="fixed"/>
        <w:tblCellMar>
          <w:top w:w="28" w:type="dxa"/>
          <w:left w:w="28" w:type="dxa"/>
          <w:bottom w:w="28" w:type="dxa"/>
          <w:right w:w="28" w:type="dxa"/>
        </w:tblCellMar>
      </w:tblPr>
      <w:tblGrid>
        <w:gridCol w:w="646"/>
        <w:gridCol w:w="569"/>
        <w:gridCol w:w="570"/>
        <w:gridCol w:w="489"/>
        <w:gridCol w:w="489"/>
        <w:gridCol w:w="491"/>
        <w:gridCol w:w="208"/>
        <w:gridCol w:w="208"/>
        <w:gridCol w:w="208"/>
        <w:gridCol w:w="489"/>
        <w:gridCol w:w="489"/>
        <w:gridCol w:w="491"/>
        <w:gridCol w:w="109"/>
        <w:gridCol w:w="109"/>
        <w:gridCol w:w="109"/>
        <w:gridCol w:w="489"/>
        <w:gridCol w:w="489"/>
        <w:gridCol w:w="491"/>
        <w:gridCol w:w="191"/>
        <w:gridCol w:w="191"/>
        <w:gridCol w:w="191"/>
        <w:gridCol w:w="442"/>
        <w:gridCol w:w="442"/>
        <w:gridCol w:w="630"/>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2025</w:t>
            </w:r>
          </w:p>
        </w:tc>
        <w:tc>
          <w:tcPr>
            <w:tcW w:w="6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2025</w:t>
            </w:r>
          </w:p>
        </w:tc>
        <w:tc>
          <w:tcPr>
            <w:tcW w:w="57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2024</w:t>
            </w:r>
          </w:p>
        </w:tc>
      </w:tr>
      <w:tr>
        <w:trPr/>
        <w:tc>
          <w:tcPr>
            <w:tcW w:w="1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Key Metrics</w:t>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Active Robots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78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Supply Hours</w:t>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r>
    </w:tbl>
    <w:p>
      <w:pPr>
        <w:pStyle w:val="TextBody"/>
        <w:bidi w:val="0"/>
        <w:spacing w:lineRule="auto" w:line="288" w:before="240" w:after="283"/>
        <w:jc w:val="both"/>
        <w:rPr/>
      </w:pPr>
      <w:r>
        <w:rPr>
          <w:rFonts w:ascii="Times New Roman;serif" w:hAnsi="Times New Roman;serif"/>
          <w:b w:val="false"/>
          <w:i/>
          <w:color w:val="000000"/>
          <w:sz w:val="20"/>
        </w:rPr>
        <w:t xml:space="preserve">Daily Active Robots: </w:t>
      </w:r>
      <w:r>
        <w:rPr>
          <w:rFonts w:ascii="Times New Roman;serif" w:hAnsi="Times New Roman;serif"/>
          <w:b w:val="false"/>
          <w:color w:val="000000"/>
          <w:sz w:val="2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lineRule="auto" w:line="288" w:before="240" w:after="283"/>
        <w:jc w:val="both"/>
        <w:rPr/>
      </w:pPr>
      <w:r>
        <w:rPr>
          <w:rFonts w:ascii="Times New Roman;serif" w:hAnsi="Times New Roman;serif"/>
          <w:b w:val="false"/>
          <w:i/>
          <w:color w:val="000000"/>
          <w:sz w:val="20"/>
        </w:rPr>
        <w:t xml:space="preserve">Daily Supply Hours: </w:t>
      </w:r>
      <w:r>
        <w:rPr>
          <w:rFonts w:ascii="Times New Roman;serif" w:hAnsi="Times New Roman;serif"/>
          <w:b w:val="false"/>
          <w:color w:val="000000"/>
          <w:sz w:val="2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principal sources of liquidity were cash and cash equivalents, and marketable securities of $210.45 million, which consisted of $116.84 million in cash and cash equivalents and $93.61 million in marketable securities. Cash and cash equivalents consisted of cash on deposit with banks as well as an institutional money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 Marketable securities consisted of commercial paper, corporate bonds, U.S. government agency securities and U.S. Treasury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generated significant operating losses from our operations as reflected in our accumulated deficit of $174.61 million as of September 30, 2025. We have historically funded our operations from issuance of equity and debt securities, including our initial public offering in April 2024 and subsequent equity issuances. To execute on our strategic initiatives to continue to grow our business, we may incur operating losses and generate negative cash flows from operations in the future, and as a result, we may require additional capital resources. We believe our existing cash and cash equivalents and marketable securities will be sufficient to meet our working capital and capital expenditures needs for at least the next 12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and the expansion of sales and marketing activities, the timing and extent of spending for policy initiatives. Further, we may in the future enter into arrangements to acquire or invest in businesses, products,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(in thousands):</w:t>
      </w:r>
    </w:p>
    <w:tbl>
      <w:tblPr>
        <w:tblW w:w="8037" w:type="dxa"/>
        <w:jc w:val="left"/>
        <w:tblInd w:w="0" w:type="dxa"/>
        <w:tblLayout w:type="fixed"/>
        <w:tblCellMar>
          <w:top w:w="28" w:type="dxa"/>
          <w:left w:w="28" w:type="dxa"/>
          <w:bottom w:w="28" w:type="dxa"/>
          <w:right w:w="28" w:type="dxa"/>
        </w:tblCellMar>
      </w:tblPr>
      <w:tblGrid>
        <w:gridCol w:w="1443"/>
        <w:gridCol w:w="1270"/>
        <w:gridCol w:w="1277"/>
        <w:gridCol w:w="211"/>
        <w:gridCol w:w="796"/>
        <w:gridCol w:w="109"/>
        <w:gridCol w:w="109"/>
        <w:gridCol w:w="109"/>
        <w:gridCol w:w="109"/>
        <w:gridCol w:w="211"/>
        <w:gridCol w:w="796"/>
        <w:gridCol w:w="109"/>
        <w:gridCol w:w="109"/>
        <w:gridCol w:w="109"/>
        <w:gridCol w:w="109"/>
        <w:gridCol w:w="211"/>
        <w:gridCol w:w="79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(6,483)</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50,906 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(57,389)</w:t>
            </w:r>
          </w:p>
        </w:tc>
        <w:tc>
          <w:tcPr>
            <w:tcW w:w="154"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$50.60 million and $15.28 million for the nine months ended September 30, 2025 and 2024, respectively. The increase of $35.32 million primarily consisted of an increased net loss of $41.02 million, adjusted for certain non-cash items, which primarily includes an increase of $3.35 million of depreciation and amortization expense and $4.99 million of non-cash stock-based compensation expense, offset by a decrease of $1.68 million of amortization of debt discount.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$122.14 million and $5.40 million for the nine months ended September 30, 2025 and 2024, respectively. The increase of $116.75 million was primarily due to the purchase of short-term marketable securities of $107.49 million, incremental robot build construction in-process of $15.4 million, and the purchase of a newly acquired businesses for $7.5 million, offset by proceeds of marketable securities of $14.20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$166.26 million and $71.58 million for the nine months ended September 30, 2025 and 2024, respectively. The increase of $94.68 million primarily consisted of proceeds from the issuance of the Company’s common stock pursuant to 2025 Equity Distribution Agreement, net of offering costs of $78.8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proceeds from issuance of the Company’s common stock pursuant to securities purchases, net of offering costs, resulting in an increase of $40.00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2022, we entered into a term loan with Silicon Valley Bank for gross proceeds of $2.50 million and the loan was repaid in full as of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June 2022, we entered into an equipment financing lease agreement with Farnam Street commencing November 2022, for the cost of building robots, calling for 24 monthly payments of approximately $0.19 million based on an expected total cost of $4.46 million of robot parts and manufacturing costs. In December 2023, the agreement was modified to require three monthly repayments of approximately $0.03 million each and 12 monthly repayments of approximately $0.19 million each, subject to certain terms and effective in January 2024. There was no outstanding liability as of September 30, 2025. In April 2025, the Company exercised the option to purchase the assets at the end of the lease for $2.25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critical accounting policies from those disclosed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including our Chief Executive Officer and our Chief Financial Officer, we conducted an evaluation of the effectiveness of our disclosure controls and procedures as of September 30, 2025.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our evaluation, our Chief Executive Officer and Chief Financial Officer concluded that our disclosure controls and procedures were not effective because of the material weaknesses in our internal control over financial reporting described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identified the following material weaknesses in the Company’s internal control over financial reporting that exist as of September 30, 2025.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an effective control environment as our size has prevented us from being able to employ sufficient resources. This material weakness contributed to the following additional material weaknesses.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Company did not design and maintain effective controls to verify appropriate segregation of duties.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related to substantially all accounts and disclosures. Specifically, the Company did not design and maintain comprehensive and formalized accounting and financial reporting policies and procedures that detail the information needed for our financial reporting process, including a robust review process by which management monitors for technical accounting requirements.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over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material weaknesses did not result in a misstatement to any of the Company’s previously issued consolidated financial statements. However,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Status of Remediation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response to the identification of the material weaknesses, our management team has established a remediation plan to address the material weaknesses. Our remediation plan during 2025 includes, but is not limited to, establishing more robust processes to support our internal control over financial reporting, which includes designing and implementing controls and processes to facilitate effective financial reporting, along with accurate documentation and timely support.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2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remediating the material weaknesses and the actions the Company is taking are subject to ongoing senior management review, as well as oversight from the Company’s Audit Committee.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no pending, threatened or actual material legal proceedings to which the Company or any of its subsidiaries is a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as disclosed in Part I, Item 1A. “Risk Factors” beginning on page 8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Vayu Merger Agreement, the Company issued 1,410,469 shares of its common stock. The shares of common stock were issued pursuant to an exemption from registration under Section 4(a)(2) of the Securities Act and/or Regulation D promulgated thereunder.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Vayu Merger Agreement, upon the closing of the transaction, the Company also issued 4,000,000 warrants to a certain Vayu securityholder. Each Warrant entitles the holder to purchase one share of the Company’s common stock, subject to adjustment thereunder, at an exercise price of $10.36 per share (which amount is equal to the 10-day volume weighted average price of the common stock prior to the closing of the transaction). The Warrants contain customary terms and are exercisable at any time on or after August 15, 2029, and terminate on August 15, 2031. The Warrants were issued pursuant to an exemption from registration under Section 4(a)(2) of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24, 2025, Brian Read, our Chief Financial Officer, entered into a Rule 10b5-1 trading plan intended to satisfy the affirmative defense conditions of Rule 10b5-1(c) under the Exchange Act with respect to the potential sale of up to 60,000 shares of the Company’s common stock. The arrangement has a termination date of the earlier of (i) September 23, 2026 or (ii) the date on which an aggregate of 60,000 shares of the Company’s common stock have been sold under the Rule 10b5-1 trading plan. In no event shall shares of the Company’s common stock be sold under the trading plan prior to December 24, 2025. As of the date of this report, none of the shares were sold and no other adjustments were made to the trading plan during the quarterly period covered by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29, 2025, David Goldberg, a member of our Board, entered into a Rule 10b5-1 trading plan intended to satisfy the affirmative defense conditions of Rule 10b5-1(c) under the Exchange Act with respect to the potential sale of up to 20,000 shares of the Company’s common stock. The arrangement has a termination date of the earlier of (i) September 29, 2026 or (ii) the date on which an aggregate of 20,000 shares of the Company’s common stock have been sold under the Rule 10b5-1 trading plan. In no event shall shares of the Company’s common stock be sold under the trading plan prior to December 30, 2025. As of the date of this report, none of the shares were sold and no other adjustments were made to the trading plan during the quarterly period covered by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than as disclosed above, during the three months ended September 30, 2025, no director or officer of the Company adopted or terminated a “Rule 10b5-1 trading arrangement” or a “non-Rule 10b5-1 trading arrangement” (in each case,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2681"/>
        <w:gridCol w:w="2591"/>
        <w:gridCol w:w="3692"/>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Common Stock Purchase Warrant, dated as of August 15, 2025</w:t>
              </w:r>
            </w:hyperlink>
            <w:hyperlink r:id="rId3">
              <w:r>
                <w:rPr>
                  <w:rStyle w:val="InternetLink"/>
                  <w:rFonts w:ascii="Times New Roman;serif" w:hAnsi="Times New Roman;serif"/>
                  <w:b w:val="false"/>
                  <w:color w:val="000080"/>
                  <w:sz w:val="20"/>
                  <w:u w:val="single"/>
                </w:rPr>
                <w:t xml:space="preserve"> (incorporated by reference to the Company’s Form </w:t>
              </w:r>
            </w:hyperlink>
            <w:hyperlink r:id="rId4">
              <w:r>
                <w:rPr>
                  <w:rStyle w:val="InternetLink"/>
                  <w:rFonts w:ascii="Times New Roman;serif" w:hAnsi="Times New Roman;serif"/>
                  <w:b w:val="false"/>
                  <w:color w:val="000080"/>
                  <w:sz w:val="20"/>
                  <w:u w:val="single"/>
                </w:rPr>
                <w:t>8-K</w:t>
              </w:r>
            </w:hyperlink>
            <w:hyperlink r:id="rId5">
              <w:r>
                <w:rPr>
                  <w:rStyle w:val="InternetLink"/>
                  <w:rFonts w:ascii="Times New Roman;serif" w:hAnsi="Times New Roman;serif"/>
                  <w:b w:val="false"/>
                  <w:color w:val="000080"/>
                  <w:sz w:val="20"/>
                  <w:u w:val="single"/>
                </w:rPr>
                <w:t xml:space="preserve"> filed with the SEC on </w:t>
              </w:r>
            </w:hyperlink>
            <w:hyperlink r:id="rId6">
              <w:r>
                <w:rPr>
                  <w:rStyle w:val="InternetLink"/>
                  <w:rFonts w:ascii="Times New Roman;serif" w:hAnsi="Times New Roman;serif"/>
                  <w:b w:val="false"/>
                  <w:color w:val="000080"/>
                  <w:sz w:val="20"/>
                  <w:u w:val="single"/>
                </w:rPr>
                <w:t>August 18</w:t>
              </w:r>
            </w:hyperlink>
            <w:hyperlink r:id="rId7">
              <w:r>
                <w:rPr>
                  <w:rStyle w:val="InternetLink"/>
                  <w:rFonts w:ascii="Times New Roman;serif" w:hAnsi="Times New Roman;serif"/>
                  <w:b w:val="false"/>
                  <w:color w:val="000080"/>
                  <w:sz w:val="20"/>
                  <w:u w:val="single"/>
                </w:rPr>
                <w:t>, 2025).</w:t>
              </w:r>
            </w:hyperlink>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erv-202509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erv-202509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serv-202509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serv-202509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Furnished in accordance with Item 601(b)(32)(ii) of Regulation S-K.</w:t>
      </w:r>
    </w:p>
    <w:p>
      <w:pPr>
        <w:pStyle w:val="TextBody"/>
        <w:bidi w:val="0"/>
        <w:spacing w:before="0" w:after="0"/>
        <w:ind w:left="0" w:right="0" w:firstLine="72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0a49c3887c64120bcfb2130f642934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42" w:type="dxa"/>
        <w:jc w:val="left"/>
        <w:tblInd w:w="0" w:type="dxa"/>
        <w:tblLayout w:type="fixed"/>
        <w:tblCellMar>
          <w:top w:w="28" w:type="dxa"/>
          <w:left w:w="28" w:type="dxa"/>
          <w:bottom w:w="28" w:type="dxa"/>
          <w:right w:w="28" w:type="dxa"/>
        </w:tblCellMar>
      </w:tblPr>
      <w:tblGrid>
        <w:gridCol w:w="835"/>
        <w:gridCol w:w="734"/>
        <w:gridCol w:w="741"/>
        <w:gridCol w:w="356"/>
        <w:gridCol w:w="356"/>
        <w:gridCol w:w="356"/>
        <w:gridCol w:w="1095"/>
        <w:gridCol w:w="1095"/>
        <w:gridCol w:w="157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83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SERVE ROBOTICS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14, 2025</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Ali Kashani</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14, 2025</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/s/ Brian Read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Ali Kashani,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79" w:type="dxa"/>
        <w:jc w:val="left"/>
        <w:tblInd w:w="0" w:type="dxa"/>
        <w:tblLayout w:type="fixed"/>
        <w:tblCellMar>
          <w:top w:w="28" w:type="dxa"/>
          <w:left w:w="28" w:type="dxa"/>
          <w:bottom w:w="28" w:type="dxa"/>
          <w:right w:w="28" w:type="dxa"/>
        </w:tblCellMar>
      </w:tblPr>
      <w:tblGrid>
        <w:gridCol w:w="797"/>
        <w:gridCol w:w="702"/>
        <w:gridCol w:w="706"/>
        <w:gridCol w:w="722"/>
        <w:gridCol w:w="722"/>
        <w:gridCol w:w="103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Brian Read,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70" w:type="dxa"/>
        <w:jc w:val="left"/>
        <w:tblInd w:w="0" w:type="dxa"/>
        <w:tblLayout w:type="fixed"/>
        <w:tblCellMar>
          <w:top w:w="28" w:type="dxa"/>
          <w:left w:w="28" w:type="dxa"/>
          <w:bottom w:w="28" w:type="dxa"/>
          <w:right w:w="28" w:type="dxa"/>
        </w:tblCellMar>
      </w:tblPr>
      <w:tblGrid>
        <w:gridCol w:w="797"/>
        <w:gridCol w:w="702"/>
        <w:gridCol w:w="706"/>
        <w:gridCol w:w="1100"/>
        <w:gridCol w:w="1100"/>
        <w:gridCol w:w="156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September 30, 2025,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tbl>
      <w:tblPr>
        <w:tblW w:w="4679" w:type="dxa"/>
        <w:jc w:val="left"/>
        <w:tblInd w:w="0" w:type="dxa"/>
        <w:tblLayout w:type="fixed"/>
        <w:tblCellMar>
          <w:top w:w="28" w:type="dxa"/>
          <w:left w:w="28" w:type="dxa"/>
          <w:bottom w:w="28" w:type="dxa"/>
          <w:right w:w="28" w:type="dxa"/>
        </w:tblCellMar>
      </w:tblPr>
      <w:tblGrid>
        <w:gridCol w:w="797"/>
        <w:gridCol w:w="702"/>
        <w:gridCol w:w="706"/>
        <w:gridCol w:w="722"/>
        <w:gridCol w:w="722"/>
        <w:gridCol w:w="103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September 30, 2025,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Report fully complies with the requirements of Section 13(a) or 15(d), as applicable,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information contained in the Report fairly presents, in all material respects, the financial condition and results of operations of the Company at the dates and for the periods indicated.</w:t>
      </w:r>
    </w:p>
    <w:tbl>
      <w:tblPr>
        <w:tblW w:w="5970" w:type="dxa"/>
        <w:jc w:val="left"/>
        <w:tblInd w:w="0" w:type="dxa"/>
        <w:tblLayout w:type="fixed"/>
        <w:tblCellMar>
          <w:top w:w="28" w:type="dxa"/>
          <w:left w:w="28" w:type="dxa"/>
          <w:bottom w:w="28" w:type="dxa"/>
          <w:right w:w="28" w:type="dxa"/>
        </w:tblCellMar>
      </w:tblPr>
      <w:tblGrid>
        <w:gridCol w:w="797"/>
        <w:gridCol w:w="702"/>
        <w:gridCol w:w="706"/>
        <w:gridCol w:w="1100"/>
        <w:gridCol w:w="1100"/>
        <w:gridCol w:w="156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83/000121390025077711/ea025321401ex4-1_serverobo.htm" TargetMode="External"/><Relationship Id="rId3" Type="http://schemas.openxmlformats.org/officeDocument/2006/relationships/hyperlink" Target="https://www.sec.gov/Archives/edgar/data/1832483/000121390025077711/ea025321401ex4-1_serverobo.htm" TargetMode="External"/><Relationship Id="rId4" Type="http://schemas.openxmlformats.org/officeDocument/2006/relationships/hyperlink" Target="https://www.sec.gov/Archives/edgar/data/1832483/000121390025077711/ea025321401ex4-1_serverobo.htm" TargetMode="External"/><Relationship Id="rId5" Type="http://schemas.openxmlformats.org/officeDocument/2006/relationships/hyperlink" Target="https://www.sec.gov/Archives/edgar/data/1832483/000121390025077711/ea025321401ex4-1_serverobo.htm" TargetMode="External"/><Relationship Id="rId6" Type="http://schemas.openxmlformats.org/officeDocument/2006/relationships/hyperlink" Target="https://www.sec.gov/Archives/edgar/data/1832483/000121390025077711/ea025321401ex4-1_serverobo.htm" TargetMode="External"/><Relationship Id="rId7" Type="http://schemas.openxmlformats.org/officeDocument/2006/relationships/hyperlink" Target="https://www.sec.gov/Archives/edgar/data/1832483/000121390025077711/ea025321401ex4-1_serverobo.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25786</Words>
  <Characters>142189</Characters>
  <CharactersWithSpaces>166518</CharactersWithSpaces>
  <Paragraphs>2520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