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4231_uberserv-sc13d.htm"/>
      <w:bookmarkStart w:id="1" w:name="kse24231_uberservsc13d"/>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13D</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br/>
        <w:t>(Amendment No.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Serve Robotics Inc.</w:t>
      </w:r>
    </w:p>
    <w:p>
      <w:pPr>
        <w:pStyle w:val="TextBody"/>
        <w:bidi w:val="0"/>
        <w:spacing w:before="60" w:after="60"/>
        <w:jc w:val="left"/>
        <w:rPr>
          <w:bdr w:val="single" w:sz="8" w:space="1" w:color="000000"/>
        </w:rPr>
      </w:pPr>
      <w:r>
        <w:rPr>
          <w:bdr w:val="single" w:sz="8" w:space="1" w:color="000000"/>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$0.0001 per share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81758H 106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Prashanth Mahendra-Rajah</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Uber Technologies,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 3rd Street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 94158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612-8582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8, 2024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Date of Event which Requires Filing on Schedule 13D)</w:t>
      </w:r>
    </w:p>
    <w:p>
      <w:pPr>
        <w:pStyle w:val="TextBody"/>
        <w:bidi w:val="0"/>
        <w:ind w:left="720" w:right="72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checking the following box.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otherwise subject to the liabilities of that section of the Act but shall be subject to all other provisions of the Act (however, see the Notes).</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tbl>
      <w:tblPr>
        <w:tblW w:w="8767" w:type="dxa"/>
        <w:jc w:val="left"/>
        <w:tblInd w:w="-10" w:type="dxa"/>
        <w:tblLayout w:type="fixed"/>
        <w:tblCellMar>
          <w:top w:w="28" w:type="dxa"/>
          <w:left w:w="60" w:type="dxa"/>
          <w:bottom w:w="28" w:type="dxa"/>
          <w:right w:w="0" w:type="dxa"/>
        </w:tblCellMar>
      </w:tblPr>
      <w:tblGrid>
        <w:gridCol w:w="1053"/>
        <w:gridCol w:w="180"/>
        <w:gridCol w:w="190"/>
        <w:gridCol w:w="167"/>
        <w:gridCol w:w="1141"/>
        <w:gridCol w:w="167"/>
        <w:gridCol w:w="5869"/>
      </w:tblGrid>
      <w:tr>
        <w:trPr/>
        <w:tc>
          <w:tcPr>
            <w:tcW w:w="1053"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(1)</w:t>
            </w:r>
          </w:p>
        </w:tc>
        <w:tc>
          <w:tcPr>
            <w:tcW w:w="18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7534" w:type="dxa"/>
            <w:gridSpan w:val="5"/>
            <w:tcBorders>
              <w:top w:val="single" w:sz="8" w:space="0" w:color="000000"/>
              <w:left w:val="single" w:sz="8" w:space="0" w:color="000000"/>
              <w:bottom w:val="single" w:sz="8" w:space="0" w:color="000000"/>
              <w:right w:val="single" w:sz="8" w:space="0" w:color="000000"/>
            </w:tcBorders>
            <w:tcMar>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Technologies, Inc.</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(2)</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left"/>
              <w:rPr>
                <w:rFonts w:ascii="Arial Unicode MS" w:hAnsi="Arial Unicode MS"/>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r>
              <w:rPr>
                <w:rFonts w:ascii="Arial Unicode MS" w:hAnsi="Arial Unicode MS"/>
                <w:b w:val="false"/>
                <w:i w:val="false"/>
                <w:caps w:val="false"/>
                <w:smallCaps w:val="false"/>
                <w:sz w:val="20"/>
              </w:rPr>
              <w:t>     </w:t>
            </w: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p>
            <w:pPr>
              <w:pStyle w:val="TableContents"/>
              <w:bidi w:val="0"/>
              <w:spacing w:before="0" w:after="20"/>
              <w:ind w:left="0" w:right="0" w:firstLine="720"/>
              <w:jc w:val="left"/>
              <w:rPr>
                <w:caps w:val="false"/>
                <w:smallCaps w:val="false"/>
              </w:rPr>
            </w:pPr>
            <w:r>
              <w:rPr>
                <w:caps w:val="false"/>
                <w:smallCaps w:val="false"/>
              </w:rPr>
              <w:t> </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(3)</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20"/>
              <w:ind w:left="0" w:right="0" w:firstLine="720"/>
              <w:jc w:val="left"/>
              <w:rPr>
                <w:caps w:val="false"/>
                <w:smallCaps w:val="false"/>
              </w:rPr>
            </w:pPr>
            <w:r>
              <w:rPr>
                <w:caps w:val="false"/>
                <w:smallCaps w:val="false"/>
              </w:rPr>
              <w:t> </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(4)</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(5)</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(6)</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23" w:type="dxa"/>
            <w:gridSpan w:val="3"/>
            <w:vMerge w:val="restart"/>
            <w:tcBorders>
              <w:left w:val="single" w:sz="8" w:space="0" w:color="000000"/>
            </w:tcBorders>
            <w:tcMar>
              <w:top w:w="0" w:type="dxa"/>
              <w:left w:w="28" w:type="dxa"/>
              <w:bottom w:w="0" w:type="dxa"/>
            </w:tcMar>
            <w:vAlign w:val="center"/>
          </w:tcPr>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shares</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beneficially</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owned by</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each</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reporting</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person</w:t>
            </w:r>
          </w:p>
          <w:p>
            <w:pPr>
              <w:pStyle w:val="TableContents"/>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with:</w:t>
            </w:r>
          </w:p>
          <w:p>
            <w:pPr>
              <w:pStyle w:val="TableContents"/>
              <w:bidi w:val="0"/>
              <w:spacing w:before="0" w:after="20"/>
              <w:ind w:left="0" w:right="0" w:firstLine="720"/>
              <w:jc w:val="left"/>
              <w:rPr>
                <w:caps w:val="false"/>
                <w:smallCaps w:val="false"/>
              </w:rPr>
            </w:pPr>
            <w:r>
              <w:rPr>
                <w:caps w:val="false"/>
                <w:smallCaps w:val="false"/>
              </w:rPr>
              <w:t> </w:t>
            </w:r>
          </w:p>
        </w:tc>
        <w:tc>
          <w:tcPr>
            <w:tcW w:w="167"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tcMar>
            <w:vAlign w:val="center"/>
          </w:tcPr>
          <w:p>
            <w:pPr>
              <w:pStyle w:val="TableContents"/>
              <w:bidi w:val="0"/>
              <w:spacing w:before="0" w:after="283"/>
              <w:jc w:val="center"/>
              <w:rPr/>
            </w:pPr>
            <w:r>
              <w:rPr/>
              <w:t>(7)</w:t>
            </w:r>
          </w:p>
        </w:tc>
        <w:tc>
          <w:tcPr>
            <w:tcW w:w="167"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5869" w:type="dxa"/>
            <w:tcBorders>
              <w:bottom w:val="single" w:sz="8" w:space="0" w:color="000000"/>
              <w:right w:val="single" w:sz="8" w:space="0" w:color="000000"/>
            </w:tcBorders>
            <w:tcMar>
              <w:top w:w="0" w:type="dxa"/>
              <w:left w:w="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5,298,833</w:t>
            </w:r>
            <w:r>
              <w:rPr>
                <w:rFonts w:ascii="Times New Roman;Times;Serif" w:hAnsi="Times New Roman;Times;Serif"/>
                <w:b w:val="false"/>
                <w:i w:val="false"/>
                <w:caps w:val="false"/>
                <w:smallCaps w:val="false"/>
                <w:position w:val="7"/>
                <w:sz w:val="16"/>
                <w:sz w:val="20"/>
              </w:rPr>
              <w:t>(1)</w:t>
            </w:r>
          </w:p>
        </w:tc>
      </w:tr>
      <w:tr>
        <w:trPr/>
        <w:tc>
          <w:tcPr>
            <w:tcW w:w="1423" w:type="dxa"/>
            <w:gridSpan w:val="3"/>
            <w:vMerge w:val="continue"/>
            <w:tcBorders>
              <w:left w:val="single" w:sz="8" w:space="0" w:color="000000"/>
            </w:tcBorders>
            <w:tcMar>
              <w:top w:w="0" w:type="dxa"/>
              <w:left w:w="28" w:type="dxa"/>
              <w:bottom w:w="0" w:type="dxa"/>
            </w:tcMar>
            <w:vAlign w:val="center"/>
          </w:tcPr>
          <w:p>
            <w:pPr>
              <w:pStyle w:val="Normal"/>
              <w:bidi w:val="0"/>
              <w:jc w:val="left"/>
              <w:rPr/>
            </w:pPr>
            <w:r>
              <w:rPr/>
            </w:r>
          </w:p>
        </w:tc>
        <w:tc>
          <w:tcPr>
            <w:tcW w:w="167"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tcMar>
            <w:vAlign w:val="center"/>
          </w:tcPr>
          <w:p>
            <w:pPr>
              <w:pStyle w:val="TableContents"/>
              <w:bidi w:val="0"/>
              <w:spacing w:before="0" w:after="283"/>
              <w:jc w:val="center"/>
              <w:rPr/>
            </w:pPr>
            <w:r>
              <w:rPr/>
              <w:t>(8)</w:t>
            </w:r>
          </w:p>
        </w:tc>
        <w:tc>
          <w:tcPr>
            <w:tcW w:w="167"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5869" w:type="dxa"/>
            <w:tcBorders>
              <w:bottom w:val="single" w:sz="8" w:space="0" w:color="000000"/>
              <w:right w:val="single" w:sz="8" w:space="0" w:color="000000"/>
            </w:tcBorders>
            <w:tcMar>
              <w:top w:w="0" w:type="dxa"/>
              <w:left w:w="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23" w:type="dxa"/>
            <w:gridSpan w:val="3"/>
            <w:vMerge w:val="continue"/>
            <w:tcBorders>
              <w:left w:val="single" w:sz="8" w:space="0" w:color="000000"/>
            </w:tcBorders>
            <w:tcMar>
              <w:top w:w="0" w:type="dxa"/>
              <w:left w:w="28" w:type="dxa"/>
              <w:bottom w:w="0" w:type="dxa"/>
            </w:tcMar>
            <w:vAlign w:val="center"/>
          </w:tcPr>
          <w:p>
            <w:pPr>
              <w:pStyle w:val="Normal"/>
              <w:bidi w:val="0"/>
              <w:jc w:val="left"/>
              <w:rPr/>
            </w:pPr>
            <w:r>
              <w:rPr/>
            </w:r>
          </w:p>
        </w:tc>
        <w:tc>
          <w:tcPr>
            <w:tcW w:w="167"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tcMar>
            <w:vAlign w:val="center"/>
          </w:tcPr>
          <w:p>
            <w:pPr>
              <w:pStyle w:val="TableContents"/>
              <w:bidi w:val="0"/>
              <w:spacing w:before="0" w:after="283"/>
              <w:jc w:val="center"/>
              <w:rPr/>
            </w:pPr>
            <w:r>
              <w:rPr/>
              <w:t>(9)</w:t>
            </w:r>
          </w:p>
        </w:tc>
        <w:tc>
          <w:tcPr>
            <w:tcW w:w="167"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5869" w:type="dxa"/>
            <w:tcBorders>
              <w:bottom w:val="single" w:sz="8" w:space="0" w:color="000000"/>
              <w:right w:val="single" w:sz="8" w:space="0" w:color="000000"/>
            </w:tcBorders>
            <w:tcMar>
              <w:top w:w="0" w:type="dxa"/>
              <w:left w:w="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5,298,833</w:t>
            </w:r>
            <w:r>
              <w:rPr>
                <w:rFonts w:ascii="Times New Roman;Times;Serif" w:hAnsi="Times New Roman;Times;Serif"/>
                <w:b w:val="false"/>
                <w:i w:val="false"/>
                <w:caps w:val="false"/>
                <w:smallCaps w:val="false"/>
                <w:position w:val="7"/>
                <w:sz w:val="16"/>
                <w:sz w:val="20"/>
              </w:rPr>
              <w:t>(1)</w:t>
            </w:r>
          </w:p>
        </w:tc>
      </w:tr>
      <w:tr>
        <w:trPr/>
        <w:tc>
          <w:tcPr>
            <w:tcW w:w="1423" w:type="dxa"/>
            <w:gridSpan w:val="3"/>
            <w:vMerge w:val="continue"/>
            <w:tcBorders>
              <w:left w:val="single" w:sz="8" w:space="0" w:color="000000"/>
            </w:tcBorders>
            <w:tcMar>
              <w:top w:w="0" w:type="dxa"/>
              <w:left w:w="28" w:type="dxa"/>
              <w:bottom w:w="0" w:type="dxa"/>
            </w:tcMar>
            <w:vAlign w:val="center"/>
          </w:tcPr>
          <w:p>
            <w:pPr>
              <w:pStyle w:val="Normal"/>
              <w:bidi w:val="0"/>
              <w:jc w:val="left"/>
              <w:rPr/>
            </w:pPr>
            <w:r>
              <w:rPr/>
            </w:r>
          </w:p>
        </w:tc>
        <w:tc>
          <w:tcPr>
            <w:tcW w:w="167" w:type="dxa"/>
            <w:tcBorders>
              <w:left w:val="single" w:sz="8" w:space="0" w:color="000000"/>
            </w:tcBorders>
            <w:tcMar>
              <w:top w:w="0" w:type="dxa"/>
              <w:left w:w="28" w:type="dxa"/>
              <w:bottom w:w="0" w:type="dxa"/>
            </w:tcMar>
            <w:vAlign w:val="center"/>
          </w:tcPr>
          <w:p>
            <w:pPr>
              <w:pStyle w:val="TableContents"/>
              <w:bidi w:val="0"/>
              <w:spacing w:before="0" w:after="283"/>
              <w:jc w:val="left"/>
              <w:rPr/>
            </w:pPr>
            <w:r>
              <w:rPr/>
              <w:t> </w:t>
            </w:r>
          </w:p>
        </w:tc>
        <w:tc>
          <w:tcPr>
            <w:tcW w:w="1141" w:type="dxa"/>
            <w:tcBorders/>
            <w:tcMar>
              <w:top w:w="0" w:type="dxa"/>
              <w:left w:w="0" w:type="dxa"/>
              <w:bottom w:w="0" w:type="dxa"/>
            </w:tcMar>
            <w:vAlign w:val="center"/>
          </w:tcPr>
          <w:p>
            <w:pPr>
              <w:pStyle w:val="TableContents"/>
              <w:bidi w:val="0"/>
              <w:spacing w:before="0" w:after="283"/>
              <w:jc w:val="center"/>
              <w:rPr/>
            </w:pPr>
            <w:r>
              <w:rPr/>
              <w:t>(10)</w:t>
            </w:r>
          </w:p>
        </w:tc>
        <w:tc>
          <w:tcPr>
            <w:tcW w:w="167"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5869" w:type="dxa"/>
            <w:tcBorders>
              <w:right w:val="single" w:sz="8" w:space="0" w:color="000000"/>
            </w:tcBorders>
            <w:tcMar>
              <w:top w:w="0" w:type="dxa"/>
              <w:left w:w="0" w:type="dxa"/>
              <w:bottom w:w="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53"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(11)</w:t>
            </w:r>
          </w:p>
        </w:tc>
        <w:tc>
          <w:tcPr>
            <w:tcW w:w="18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7534" w:type="dxa"/>
            <w:gridSpan w:val="5"/>
            <w:tcBorders>
              <w:top w:val="single" w:sz="8" w:space="0" w:color="000000"/>
              <w:left w:val="single" w:sz="8" w:space="0" w:color="000000"/>
              <w:bottom w:val="single" w:sz="8" w:space="0" w:color="000000"/>
              <w:right w:val="single" w:sz="8" w:space="0" w:color="000000"/>
            </w:tcBorders>
            <w:tcMar>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5,298,833</w:t>
            </w:r>
            <w:r>
              <w:rPr>
                <w:rFonts w:ascii="Times New Roman;Times;Serif" w:hAnsi="Times New Roman;Times;Serif"/>
                <w:b w:val="false"/>
                <w:i w:val="false"/>
                <w:caps w:val="false"/>
                <w:smallCaps w:val="false"/>
                <w:position w:val="7"/>
                <w:sz w:val="16"/>
                <w:sz w:val="20"/>
              </w:rPr>
              <w:t>(1)</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(12)</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(See Instructions):</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(13)</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r>
              <w:rPr>
                <w:rFonts w:ascii="Times New Roman;Times;Serif" w:hAnsi="Times New Roman;Times;Serif"/>
                <w:b w:val="false"/>
                <w:i w:val="false"/>
                <w:caps w:val="false"/>
                <w:smallCaps w:val="false"/>
                <w:position w:val="7"/>
                <w:sz w:val="16"/>
                <w:sz w:val="20"/>
              </w:rPr>
              <w:t>(2)</w:t>
            </w:r>
          </w:p>
        </w:tc>
      </w:tr>
      <w:tr>
        <w:trPr/>
        <w:tc>
          <w:tcPr>
            <w:tcW w:w="105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(14)</w:t>
            </w:r>
          </w:p>
        </w:tc>
        <w:tc>
          <w:tcPr>
            <w:tcW w:w="18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7534" w:type="dxa"/>
            <w:gridSpan w:val="5"/>
            <w:tcBorders>
              <w:left w:val="single" w:sz="8" w:space="0" w:color="000000"/>
              <w:bottom w:val="single" w:sz="8" w:space="0" w:color="000000"/>
              <w:right w:val="single" w:sz="8" w:space="0" w:color="000000"/>
            </w:tcBorders>
            <w:tcMar>
              <w:top w:w="0" w:type="dxa"/>
              <w:left w:w="80" w:type="dxa"/>
              <w:right w:w="4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r>
      <w:tr>
        <w:trPr/>
        <w:tc>
          <w:tcPr>
            <w:tcW w:w="1053" w:type="dxa"/>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tcMar>
              <w:top w:w="0" w:type="dxa"/>
              <w:left w:w="0" w:type="dxa"/>
              <w:bottom w:w="0" w:type="dxa"/>
            </w:tcMar>
            <w:vAlign w:val="center"/>
          </w:tcPr>
          <w:p>
            <w:pPr>
              <w:pStyle w:val="TableContents"/>
              <w:bidi w:val="0"/>
              <w:spacing w:before="0" w:after="283"/>
              <w:jc w:val="left"/>
              <w:rPr/>
            </w:pPr>
            <w:r>
              <w:rPr/>
              <w:t> </w:t>
            </w:r>
          </w:p>
        </w:tc>
        <w:tc>
          <w:tcPr>
            <w:tcW w:w="167" w:type="dxa"/>
            <w:tcBorders/>
            <w:tcMar>
              <w:top w:w="0" w:type="dxa"/>
              <w:left w:w="0" w:type="dxa"/>
              <w:bottom w:w="0" w:type="dxa"/>
            </w:tcMar>
            <w:vAlign w:val="center"/>
          </w:tcPr>
          <w:p>
            <w:pPr>
              <w:pStyle w:val="TableContents"/>
              <w:bidi w:val="0"/>
              <w:spacing w:before="0" w:after="283"/>
              <w:jc w:val="left"/>
              <w:rPr/>
            </w:pPr>
            <w:r>
              <w:rPr/>
              <w:t> </w:t>
            </w:r>
          </w:p>
        </w:tc>
        <w:tc>
          <w:tcPr>
            <w:tcW w:w="1141" w:type="dxa"/>
            <w:tcBorders/>
            <w:tcMar>
              <w:top w:w="0" w:type="dxa"/>
              <w:left w:w="0" w:type="dxa"/>
              <w:bottom w:w="0" w:type="dxa"/>
            </w:tcMar>
            <w:vAlign w:val="center"/>
          </w:tcPr>
          <w:p>
            <w:pPr>
              <w:pStyle w:val="TableContents"/>
              <w:bidi w:val="0"/>
              <w:spacing w:before="0" w:after="283"/>
              <w:jc w:val="center"/>
              <w:rPr/>
            </w:pPr>
            <w:r>
              <w:rPr/>
              <w:t> </w:t>
            </w:r>
          </w:p>
        </w:tc>
        <w:tc>
          <w:tcPr>
            <w:tcW w:w="167" w:type="dxa"/>
            <w:tcBorders/>
            <w:tcMar>
              <w:top w:w="0" w:type="dxa"/>
              <w:left w:w="0" w:type="dxa"/>
              <w:bottom w:w="0" w:type="dxa"/>
            </w:tcMar>
            <w:vAlign w:val="center"/>
          </w:tcPr>
          <w:p>
            <w:pPr>
              <w:pStyle w:val="TableContents"/>
              <w:bidi w:val="0"/>
              <w:spacing w:before="0" w:after="283"/>
              <w:jc w:val="left"/>
              <w:rPr/>
            </w:pPr>
            <w:r>
              <w:rPr/>
              <w:t> </w:t>
            </w:r>
          </w:p>
        </w:tc>
        <w:tc>
          <w:tcPr>
            <w:tcW w:w="5869" w:type="dxa"/>
            <w:tcBorders/>
            <w:tcMar>
              <w:top w:w="0" w:type="dxa"/>
              <w:left w:w="0" w:type="dxa"/>
              <w:bottom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5,298,833 shares of common stock, par value $0.0001 per share, of Serve Robotics Inc. that are beneficially owned by Uber Technologies, Inc. through Postmates, LLC, a wholly-owned subsidiary of Uber Technologies, Inc.</w:t>
            </w:r>
          </w:p>
        </w:tc>
      </w:tr>
    </w:tbl>
    <w:p>
      <w:pPr>
        <w:pStyle w:val="TextBody"/>
        <w:bidi w:val="0"/>
        <w:ind w:left="27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 of class beneficially owned by the Reporting Person was calculated assuming 34,832,814 shares of common stock issued and outstanding based on (i) 24,832,814 shares of common stock issued and outstanding as of February 23, 2024, as described in the Issuer’s report on Form 10-K for the fiscal year ended December 31, 2023, as filed with the Securities and Exchange Commission, plus (ii) the 10 million additional shares issued in the Issuer’s offering that closed on April 22, 2024, as disclosed in the Issuer’s Current Report on Form 8-K filed on April 23, 2024.</w:t>
            </w:r>
            <w:r>
              <w:rPr>
                <w:rFonts w:ascii="Times New Roman;Times;Serif" w:hAnsi="Times New Roman;Times;Serif"/>
                <w:b w:val="false"/>
                <w:i w:val="false"/>
                <w:caps w:val="false"/>
                <w:smallCaps w:val="false"/>
                <w:position w:val="7"/>
                <w:sz w:val="16"/>
                <w:sz w:val="20"/>
              </w:rPr>
              <w:t> </w:t>
            </w:r>
          </w:p>
        </w:tc>
      </w:tr>
    </w:tbl>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Schedule 13D (this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relates to the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Serve Robotics Inc.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address of the principal executive offices of the Issuer is 730 Broadway, Redwood City, CA 94063.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This Statement is being filed by Uber Technologies, Inc. (the “</w:t>
      </w:r>
      <w:r>
        <w:rPr>
          <w:rFonts w:ascii="Times New Roman;Times;Serif" w:hAnsi="Times New Roman;Times;Serif"/>
          <w:b w:val="false"/>
          <w:i w:val="false"/>
          <w:caps w:val="false"/>
          <w:smallCaps w:val="false"/>
          <w:sz w:val="20"/>
          <w:u w:val="single"/>
        </w:rPr>
        <w:t>Reporting 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Uber</w:t>
      </w:r>
      <w:r>
        <w:rPr>
          <w:rFonts w:ascii="Times New Roman;Times;Serif" w:hAnsi="Times New Roman;Times;Serif"/>
          <w:b w:val="false"/>
          <w:i w:val="false"/>
          <w:caps w:val="false"/>
          <w:smallCaps w:val="false"/>
          <w:sz w:val="20"/>
        </w:rPr>
        <w:t>”), a publicly traded Delaware corporation, because the Reporting Person beneficially owns 5,298,833 shares of common stock of the Issuer through Postmates, LLC, a wholly-owned subsidiary of the Reporting Person. The principal business of the Reporting Person is the operation and continued development of a technology platform that uses a massive network, leading technology, operational excellence and product expertise to power movement from point A to point B. The business address of the Reporting Person is 1725 3rd Street, San Francisco, CA 94158. Set forth on Schedule I, which is incorporated herein by reference, is the name, business address and principal occupation or employment and citizenship of each of the Reporting Person’s directors and executive officers.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last five years, neither the Reporting Person nor, to the best knowledge of the Reporting Person, any person named in Schedule I, has been convicted in a criminal proceeding (excluding traffic violations or similar misdemeanors).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past five years, neither the Reporting Person nor, to the best knowledge of the Reporting Person, any person named in Schedule I, has been a party to a civil proceeding of a judicial or administrative body of competent jurisdiction and as a result of such proceeding such person was or is subject to a judgment, decree or final order enjoining future violations of, or prohibiting or mandating activities subject to, federal or state securities laws or finding any violation with respect to such laws.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citizenship of each of the individuals referred to in Schedule I is set forth on Schedule I.</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or Other Consideration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or incorporated by reference in Item 6 of this Statement is incorporated by reference into this Item 3. The Issuer is a spin-off of the Reporting Person. Serve Robotics Inc. was initially formed in 2017 as the X division of Postmates, which was acquired by the Reporting Person in 2020. In February of 2021, the Reporting Person agreed to contribute the intellectual property developed by the Reporting Person and assets to Serve Robotics Inc. In return for this contribution and an investment of cash into Serve Robotics Inc., the Reporting Person acquired a minority equity interest in the business. The Reporting Person held greater than 5% of Serve Robotics Inc.’s capital stock prior to its merger in July 2023 with a special acquisition company, resulting in the business of Serve Robotics Inc. becoming a publicly traded company. In April of 2024, the Reporting Person purchased additional shares of common stock as part of the Issuer’s public offering of $10 million shares at a public offering price of $4.00 per share. The Reporting Person has also participated in multiple prior financing rounds.</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6 of this Schedule 13D is incorporated herein by reference. The Reporting Person periodically reviews its investments in issuers, including the Issuer, and intends to further assess its investment in the Issuer from time to time, on the basis of various factors, including, without limitation, the Issuer’s business performance, financial condition, results of operations and prospects, general economic, market and industry conditions, as well as other developments and other investment opportunities available to the Reporting Person and the Issuer. The Reporting Person seeks to maximize the value of its investment in the Issuer. If the Reporting Person believes that further investment in the Issuer is attractive, the Reporting Person may acquire (or seek to acquire) common stock or other securities of the Issuer or interests in the assets or businesses of the Issuer. Similarly, the Reporting Person may determine to dispose of some or all of the common stock currently owned by the Reporting Person.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foregoing factors or any other factors that the Reporting Person may deem relevant, the Reporting Person may (i) acquire additional securities of the Issuer in open market transactions or privately negotiated transactions, (ii) make a proposal or proposals to acquire more (or potentially all) of the equity interests in the Issuer, including, without limitation, directly from certain (or potentially all) of the security holders of the Issuer, and make a shareholder proposal or proposals to request that the Issuer consider one or more extraordinary transactions, such as a merger (which transactions may cause the Issuer’s common stock to be deregistered under the Securities Act of 1933, as amended), (iii) dispose of part or all of its investment in the Issuer in open market transactions, privately negotiated transactions, via extraordinary transactions such as a merger or otherwise, and/or (iv) acquire assets or businesses of the Issuer or its subsidiaries, or an interest in assets or businesses of the Issuer or its subsidiaries, in each case including, without limitation, through the formation of a joint venture, strategic partnership or otherwise. Any acquisition or disposition may be effected by the Reporting Person at any time without prior notice, subject to applicable law.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Sarfraz Maredia, the Reporting Person’s Vice President for Delivery and Head of Americas, serves as a director on the Issuer’s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Reporting Person may engage in discussions, including, without limitation, through Mr. Maredia (including in the course of his service as a director), with management of the Issuer, the Board, other shareholders of the Issuer and other relevant parties concerning the business, operations, board composition, management, strategy or control and future plans of the Issuer that could result in or relate to, among other things, any of the matters set forth in subparagraphs (a) through (j) of the instructions to Item 4 of Schedule 13D.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except as described in this Schedule 13D, neither the Reporting Person nor, to its best knowledge, its directors or executive officers, has any present plan or proposal which relates to, or would result in, any of the events referred to in paragraphs (a) though (j), inclusive, of the instructions to Item 4 of Schedule 13D. The Reporting Person intends to review its investment in the Issuer on a continuing basis and reserves the right, at any time and from time to time, to review or reconsider its position, change its purpose, take other actions or formulate and implement plans or proposals with respect to any and all matters referred to in clauses (a) through (j) of the instructions to Item 4 of Schedule 13D.</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Reporting Person is the beneficial owner of 5,298,833 shares of common stock, which represent approximately 15.2% of the outstanding shares of common stock as of April 23, 2024. The percent of common stock beneficially owned by the Reporting Person was calculated assuming 34,832,814 shares of common stock issued and outstanding based on (i) 24,832,814 shares of common stock issued and outstanding as of February 23, 2024, as described in the Issuer’s report on Form 10-K for the fiscal year ended December 31, 2023, as filed with the Securities and Exchange Commission, plus (ii) the 10 million additional shares issued in the Issuer’s offering that closed on April 22, 2024, as disclosed in the Issuer’s Current Report on Form 8-K filed on April 23, 2024. None of the persons named in Schedule I beneficially own any shares of common stock.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b) The Reporting Person has sole voting and sole dispositive power over an aggregate of 5,298,833 shares of common stock. The Reporting Person’s shares of common stock represent approximately 15.2% of the voting power of Issuer’s outstanding capital stock as of April 23,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April 22, 2024 the Issuer consummated its public offering of 10,000,000 shares of common stock at a public offering price of $4.00 per share (the “Offering”) for which the Reporting Person (through Postmates) purchased 1,125,000 shares of common stock and received an additional 210,025 shares of common stock as a result of the automatic conversion of its Convertible Promissory Note (described in Item 6 below). Other than the foregoing, the Reporting Person and, to the best knowledge of the Reporting Person, the directors and executive officers of the Reporting Person have not effected any other transactions in the shares of the Issuer during the past 60 days.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described herein, no other person has the right to receive or the power to direct the receipt of dividends from, or the proceeds from the sale of, securities covered by this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Rights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Issuer entered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with the Reporting Person and certain other investors pursuant to which the Issuer agreed that promptly, but no later than 60 calendar days from the date of the agreement, the Issuer would file, subject to customary exceptions, a registration statement with the SEC covering the registrable securities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All of the Issuer’s directors, executive officers and holders of more than 5% of our capital stock are parties to the Registration Rights Agreement. The Issuer must use commercially reasonable efforts to keep the Registration Statement effective for five years from the date it was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Promissory Note</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the Issuer issued convertible promissory notes (the “</w:t>
      </w:r>
      <w:r>
        <w:rPr>
          <w:rFonts w:ascii="Times New Roman;Times;Serif" w:hAnsi="Times New Roman;Times;Serif"/>
          <w:b w:val="false"/>
          <w:i w:val="false"/>
          <w:caps w:val="false"/>
          <w:smallCaps w:val="false"/>
          <w:sz w:val="20"/>
          <w:u w:val="single"/>
        </w:rPr>
        <w:t>Convertible Promissory Notes</w:t>
      </w:r>
      <w:r>
        <w:rPr>
          <w:rFonts w:ascii="Times New Roman;Times;Serif" w:hAnsi="Times New Roman;Times;Serif"/>
          <w:b w:val="false"/>
          <w:i w:val="false"/>
          <w:caps w:val="false"/>
          <w:smallCaps w:val="false"/>
          <w:sz w:val="20"/>
        </w:rPr>
        <w:t>”) to certain accredited investors, including the Reporting Person (through Postmates)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The Convertible Promissory Notes bear interest at a rate of 6.00% per year, compounded annually, and are due and payable upon request by each Purchaser on or after the 12-month anniversary of the original issuance date of each Convertible Promissory Note. The Issuer may not prepay or repay the Convertible Promissory Notes in cash without the consent of the Purchasers. The aggregate gross proceeds from the issuance of the Convertible Promissory Notes was $5.0 million.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Convertible Promissory Notes, in connection with the Issuer’s offering in April 2024, the outstanding principal amount of the Convertible Promissory Notes and any unpaid accrued interest automatically converted in whole without any further action by the Purchasers into shares of common stock at a conversion price per share equal to the lesser of (i) the cash price paid per share for common stock by the investors in a qualified financing multiplied by 0.75, and (ii) the quotient resulting from dividing $80,000,000 by the number of outstanding shares of common stock immediately prior to the qualified financing (assuming the conversion of all outstanding securities convertible into or exercisable for shares of common stock, including all shares reserved and available for future grant under the Issuer’s compensation plans)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which Conversion Price resulted in the Reporting Person receiving 210,025 shares of common stock.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provide for certain registration rights, pursuant to which the Issuer agreed that as soon as practicable, but no later than 45 days after the date of issuance of any shares upon the conversion of the Convertible Promissory Notes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the Issuer would use its best efforts to file, subject to customary exceptions, a registration statement with the SEC covering the Conversion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Registration Rights Agreement and Convertible Promissory Note do not purport to be complete and are qualified in their entirety by reference to the text of the forms of such agreements, copies of which are included as Exhibits 1 and 2 to this Statement, respectively, and are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28" w:type="dxa"/>
        </w:tblCellMar>
      </w:tblPr>
      <w:tblGrid>
        <w:gridCol w:w="831"/>
        <w:gridCol w:w="9374"/>
      </w:tblGrid>
      <w:tr>
        <w:trPr/>
        <w:tc>
          <w:tcPr>
            <w:tcW w:w="8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37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Form of Registration Rights Agreement, by and between the Issuer and the parties thereto (incorporated by reference to Exhibit 10.23 to the Issuer’s Current Report on Form 8-K filed with the SEC on August 4, 2023).</w:t>
              </w:r>
            </w:hyperlink>
          </w:p>
        </w:tc>
      </w:tr>
      <w:tr>
        <w:trPr/>
        <w:tc>
          <w:tcPr>
            <w:tcW w:w="8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Form of Convertible Promissory Note (incorporated by reference to Exhibit 4.2 to the Issuer’s Current Report on Form 8-K filed with the SEC on January 3, 2024).</w:t>
              </w:r>
            </w:hyperlink>
          </w:p>
        </w:tc>
      </w:tr>
    </w:tbl>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its knowledge and belief, the undersigned certifies that the information set forth in this Statement is true, complete and correct.</w:t>
      </w:r>
    </w:p>
    <w:p>
      <w:pPr>
        <w:pStyle w:val="TextBody"/>
        <w:bidi w:val="0"/>
        <w:ind w:left="0" w:right="0" w:firstLine="72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1550"/>
        <w:gridCol w:w="320"/>
        <w:gridCol w:w="2810"/>
      </w:tblGrid>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2024</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UBER TECHNOLOGIES, INC.</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Prashanth Mahendra-Rajah</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Prashanth Mahendra-Rajah</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each director and executive officer is c/o Uber Technologies, Inc., 1725 3rd Street San Francisco, CA 94158. Unless otherwise indicated, each director and executive officer is a citizen of the United States. </w:t>
      </w:r>
    </w:p>
    <w:tbl>
      <w:tblPr>
        <w:tblW w:w="10117" w:type="dxa"/>
        <w:jc w:val="left"/>
        <w:tblInd w:w="0" w:type="dxa"/>
        <w:tblLayout w:type="fixed"/>
        <w:tblCellMar>
          <w:top w:w="0" w:type="dxa"/>
          <w:left w:w="0" w:type="dxa"/>
          <w:bottom w:w="0" w:type="dxa"/>
          <w:right w:w="0" w:type="dxa"/>
        </w:tblCellMar>
      </w:tblPr>
      <w:tblGrid>
        <w:gridCol w:w="859"/>
        <w:gridCol w:w="687"/>
        <w:gridCol w:w="692"/>
        <w:gridCol w:w="2420"/>
        <w:gridCol w:w="2420"/>
        <w:gridCol w:w="3039"/>
      </w:tblGrid>
      <w:tr>
        <w:trPr/>
        <w:tc>
          <w:tcPr>
            <w:tcW w:w="859" w:type="dxa"/>
            <w:tcBorders/>
            <w:vAlign w:val="center"/>
          </w:tcPr>
          <w:p>
            <w:pPr>
              <w:pStyle w:val="TableContents"/>
              <w:bidi w:val="0"/>
              <w:spacing w:before="0" w:after="283"/>
              <w:jc w:val="left"/>
              <w:rPr>
                <w:caps w:val="false"/>
                <w:smallCaps w:val="false"/>
              </w:rPr>
            </w:pPr>
            <w:r>
              <w:rPr>
                <w:caps w:val="false"/>
                <w:smallCaps w:val="false"/>
              </w:rPr>
              <w:t> </w:t>
            </w:r>
          </w:p>
        </w:tc>
        <w:tc>
          <w:tcPr>
            <w:tcW w:w="687" w:type="dxa"/>
            <w:tcBorders/>
            <w:vAlign w:val="center"/>
          </w:tcPr>
          <w:p>
            <w:pPr>
              <w:pStyle w:val="TableContents"/>
              <w:bidi w:val="0"/>
              <w:spacing w:before="0" w:after="283"/>
              <w:jc w:val="left"/>
              <w:rPr>
                <w:caps w:val="false"/>
                <w:smallCaps w:val="false"/>
              </w:rPr>
            </w:pPr>
            <w:r>
              <w:rPr>
                <w:caps w:val="false"/>
                <w:smallCaps w:val="false"/>
              </w:rPr>
              <w:t> </w:t>
            </w:r>
          </w:p>
        </w:tc>
        <w:tc>
          <w:tcPr>
            <w:tcW w:w="692"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30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POSITION</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 PRINCIPAL OCCUPATION OR EMPLOYMENT</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Dara Khosrowshahi</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 of Uber Technologies, Inc.</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Prashanth Mahendra-Rajah</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of Uber Technologies, Inc.</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West</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Legal Officer and Corporate Secretary of Uber Technologies, Inc.</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Nikki Krishnamurthy</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People Officer of Uber Technologies, Inc.</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Jill Hazelbaker</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Marketing and Public Affairs of Uber Technologies, Inc.</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Sugar</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Chairman and CEO, Northrop Grumman</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Revathi Advaithi</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of Flex Ltd.</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Turqi Alnowaiser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Governor and Head of International Investments Division of The Public Investment Fund</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Ursula Burns</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of Integrum Holdings, LP</w:t>
            </w:r>
          </w:p>
        </w:tc>
      </w:tr>
      <w:tr>
        <w:trPr/>
        <w:tc>
          <w:tcPr>
            <w:tcW w:w="2238" w:type="dxa"/>
            <w:gridSpan w:val="3"/>
            <w:tcBorders>
              <w:top w:val="single" w:sz="8" w:space="0" w:color="000000"/>
              <w:left w:val="single" w:sz="8" w:space="0" w:color="000000"/>
            </w:tcBorders>
            <w:tcMar>
              <w:top w:w="30" w:type="dxa"/>
              <w:lef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Eckert</w:t>
            </w:r>
          </w:p>
        </w:tc>
        <w:tc>
          <w:tcPr>
            <w:tcW w:w="7879" w:type="dxa"/>
            <w:gridSpan w:val="3"/>
            <w:tcBorders>
              <w:top w:val="single" w:sz="8" w:space="0" w:color="000000"/>
              <w:left w:val="single" w:sz="8" w:space="0" w:color="000000"/>
              <w:right w:val="single" w:sz="8" w:space="0" w:color="000000"/>
            </w:tcBorders>
            <w:tcMar>
              <w:top w:w="30" w:type="dxa"/>
              <w:left w:w="6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Partner of FFL Partners, LLC </w:t>
            </w:r>
          </w:p>
        </w:tc>
      </w:tr>
      <w:tr>
        <w:trPr/>
        <w:tc>
          <w:tcPr>
            <w:tcW w:w="2238" w:type="dxa"/>
            <w:gridSpan w:val="3"/>
            <w:tcBorders>
              <w:top w:val="single" w:sz="8" w:space="0" w:color="000000"/>
              <w:left w:val="single" w:sz="8" w:space="0" w:color="000000"/>
              <w:bottom w:val="single" w:sz="8" w:space="0" w:color="000000"/>
            </w:tcBorders>
            <w:tcMar>
              <w:top w:w="30" w:type="dxa"/>
              <w:left w:w="60" w:type="dxa"/>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Amanda Ginsberg</w:t>
            </w:r>
          </w:p>
        </w:tc>
        <w:tc>
          <w:tcPr>
            <w:tcW w:w="7879" w:type="dxa"/>
            <w:gridSpan w:val="3"/>
            <w:tcBorders>
              <w:top w:val="single" w:sz="8" w:space="0" w:color="000000"/>
              <w:left w:val="single" w:sz="8" w:space="0" w:color="000000"/>
              <w:bottom w:val="single" w:sz="8" w:space="0" w:color="000000"/>
              <w:right w:val="single" w:sz="8" w:space="0" w:color="000000"/>
            </w:tcBorders>
            <w:tcMar>
              <w:top w:w="30" w:type="dxa"/>
              <w:left w:w="6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Partner of Advent International</w:t>
            </w:r>
          </w:p>
        </w:tc>
      </w:tr>
      <w:tr>
        <w:trPr/>
        <w:tc>
          <w:tcPr>
            <w:tcW w:w="2238" w:type="dxa"/>
            <w:gridSpan w:val="3"/>
            <w:tcBorders>
              <w:left w:val="single" w:sz="8" w:space="0" w:color="000000"/>
              <w:bottom w:val="single" w:sz="8" w:space="0" w:color="000000"/>
            </w:tcBorders>
            <w:tcMar>
              <w:left w:w="60" w:type="dxa"/>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Ling Martello</w:t>
            </w:r>
          </w:p>
        </w:tc>
        <w:tc>
          <w:tcPr>
            <w:tcW w:w="7879" w:type="dxa"/>
            <w:gridSpan w:val="3"/>
            <w:tcBorders>
              <w:left w:val="single" w:sz="8" w:space="0" w:color="000000"/>
              <w:bottom w:val="single" w:sz="8" w:space="0" w:color="000000"/>
              <w:right w:val="single" w:sz="8" w:space="0" w:color="000000"/>
            </w:tcBorders>
            <w:tcMar>
              <w:left w:w="6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and Partner of BayPine </w:t>
            </w:r>
          </w:p>
        </w:tc>
      </w:tr>
      <w:tr>
        <w:trPr/>
        <w:tc>
          <w:tcPr>
            <w:tcW w:w="2238" w:type="dxa"/>
            <w:gridSpan w:val="3"/>
            <w:tcBorders>
              <w:left w:val="single" w:sz="8" w:space="0" w:color="000000"/>
              <w:bottom w:val="single" w:sz="8" w:space="0" w:color="000000"/>
            </w:tcBorders>
            <w:tcMar>
              <w:left w:w="60" w:type="dxa"/>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Thain</w:t>
            </w:r>
          </w:p>
        </w:tc>
        <w:tc>
          <w:tcPr>
            <w:tcW w:w="7879" w:type="dxa"/>
            <w:gridSpan w:val="3"/>
            <w:tcBorders>
              <w:left w:val="single" w:sz="8" w:space="0" w:color="000000"/>
              <w:bottom w:val="single" w:sz="8" w:space="0" w:color="000000"/>
              <w:right w:val="single" w:sz="8" w:space="0" w:color="000000"/>
            </w:tcBorders>
            <w:tcMar>
              <w:left w:w="6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Pine Island Capital Partners LLC</w:t>
            </w:r>
          </w:p>
        </w:tc>
      </w:tr>
      <w:tr>
        <w:trPr/>
        <w:tc>
          <w:tcPr>
            <w:tcW w:w="2238" w:type="dxa"/>
            <w:gridSpan w:val="3"/>
            <w:tcBorders>
              <w:left w:val="single" w:sz="8" w:space="0" w:color="000000"/>
              <w:bottom w:val="single" w:sz="8" w:space="0" w:color="000000"/>
            </w:tcBorders>
            <w:tcMar>
              <w:left w:w="60" w:type="dxa"/>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Trujillo</w:t>
            </w:r>
          </w:p>
        </w:tc>
        <w:tc>
          <w:tcPr>
            <w:tcW w:w="7879" w:type="dxa"/>
            <w:gridSpan w:val="3"/>
            <w:tcBorders>
              <w:left w:val="single" w:sz="8" w:space="0" w:color="000000"/>
              <w:bottom w:val="single" w:sz="8" w:space="0" w:color="000000"/>
              <w:right w:val="single" w:sz="8" w:space="0" w:color="000000"/>
            </w:tcBorders>
            <w:tcMar>
              <w:left w:w="6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TPG</w:t>
            </w:r>
          </w:p>
        </w:tc>
      </w:tr>
      <w:tr>
        <w:trPr/>
        <w:tc>
          <w:tcPr>
            <w:tcW w:w="2238" w:type="dxa"/>
            <w:gridSpan w:val="3"/>
            <w:tcBorders>
              <w:left w:val="single" w:sz="8" w:space="0" w:color="000000"/>
              <w:bottom w:val="single" w:sz="8" w:space="0" w:color="000000"/>
            </w:tcBorders>
            <w:tcMar>
              <w:left w:w="60" w:type="dxa"/>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Wynaendts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p>
        </w:tc>
        <w:tc>
          <w:tcPr>
            <w:tcW w:w="7879" w:type="dxa"/>
            <w:gridSpan w:val="3"/>
            <w:tcBorders>
              <w:left w:val="single" w:sz="8" w:space="0" w:color="000000"/>
              <w:bottom w:val="single" w:sz="8" w:space="0" w:color="000000"/>
              <w:right w:val="single" w:sz="8" w:space="0" w:color="000000"/>
            </w:tcBorders>
            <w:tcMar>
              <w:left w:w="6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CEO and Chairman, Aegon NV</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Alnowaiser is a citizen of the Kingdom of Saudi Arabia.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Wynaendts is a citizen of the Netherlands.</w:t>
      </w:r>
    </w:p>
    <w:p>
      <w:pPr>
        <w:pStyle w:val="TextBody"/>
        <w:bidi w:val="0"/>
        <w:spacing w:before="0" w:after="0"/>
        <w:ind w:left="0" w:right="0" w:hanging="0"/>
        <w:jc w:val="left"/>
        <w:rPr>
          <w:bdr w:val="single" w:sz="16" w:space="6" w:color="DCDCDC"/>
        </w:rPr>
      </w:pPr>
      <w:r>
        <w:rPr>
          <w:bdr w:val="single" w:sz="16" w:space="6" w:color="DCDCD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83/000121390023063662/ea180762ex10-23_patriciaacq.htm" TargetMode="External"/><Relationship Id="rId3" Type="http://schemas.openxmlformats.org/officeDocument/2006/relationships/hyperlink" Target="https://www.sec.gov/Archives/edgar/data/1832483/000121390024000500/ea190928ex4-2_serv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2837</Words>
  <Characters>15180</Characters>
  <CharactersWithSpaces>17991</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