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pPr>
      <w:r>
        <w:rPr>
          <w:rFonts w:ascii="Times New Roman;sans-serif" w:hAnsi="Times New Roman;sans-serif"/>
          <w:b/>
          <w:color w:val="000000"/>
          <w:sz w:val="20"/>
        </w:rPr>
        <w:t>Washington, D.C. 20549</w:t>
      </w:r>
      <w:r>
        <w:rPr>
          <w:color w:val="000000"/>
        </w:rPr>
        <w:t xml:space="preserve"> </w:t>
      </w:r>
    </w:p>
    <w:p>
      <w:pPr>
        <w:pStyle w:val="TextBody"/>
        <w:bidi w:val="0"/>
        <w:spacing w:lineRule="auto" w:line="288" w:before="240" w:after="283"/>
        <w:jc w:val="center"/>
        <w:rPr/>
      </w:pPr>
      <w:r>
        <w:rPr>
          <w:rFonts w:ascii="Times New Roman;sans-serif" w:hAnsi="Times New Roman;sans-serif"/>
          <w:b/>
          <w:color w:val="000000"/>
          <w:sz w:val="20"/>
        </w:rPr>
        <w:t>FORM 8-K</w:t>
      </w: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pPr>
      <w:r>
        <w:rPr>
          <w:rFonts w:ascii="Times New Roman;sans-serif" w:hAnsi="Times New Roman;sans-serif"/>
          <w:b/>
          <w:color w:val="000000"/>
          <w:sz w:val="20"/>
        </w:rPr>
        <w:t>Pursuant to Section 13 or 15(d) of the Securities Exchange Act of 1934</w:t>
      </w:r>
      <w:r>
        <w:rPr>
          <w:color w:val="000000"/>
        </w:rPr>
        <w:t xml:space="preserve"> </w:t>
      </w:r>
    </w:p>
    <w:p>
      <w:pPr>
        <w:pStyle w:val="TextBody"/>
        <w:bidi w:val="0"/>
        <w:spacing w:lineRule="auto" w:line="288" w:before="240" w:after="283"/>
        <w:jc w:val="center"/>
        <w:rPr/>
      </w:pPr>
      <w:r>
        <w:rPr>
          <w:rFonts w:ascii="Times New Roman;sans-serif" w:hAnsi="Times New Roman;sans-serif"/>
          <w:b/>
          <w:color w:val="000000"/>
          <w:sz w:val="20"/>
        </w:rPr>
        <w:t>Date of Report (Date of earliest event reported): August 13, 2024</w:t>
      </w:r>
      <w:r>
        <w:rPr>
          <w:color w:val="000000"/>
        </w:rPr>
        <w:t xml:space="preserve"> </w:t>
      </w:r>
    </w:p>
    <w:p>
      <w:pPr>
        <w:pStyle w:val="TextBody"/>
        <w:bidi w:val="0"/>
        <w:spacing w:lineRule="auto" w:line="288" w:before="240" w:after="283"/>
        <w:jc w:val="center"/>
        <w:rPr/>
      </w:pPr>
      <w:r>
        <w:rPr/>
        <w:drawing>
          <wp:inline distT="0" distB="0" distL="0" distR="0">
            <wp:extent cx="15430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666750"/>
                    </a:xfrm>
                    <a:prstGeom prst="rect">
                      <a:avLst/>
                    </a:prstGeom>
                  </pic:spPr>
                </pic:pic>
              </a:graphicData>
            </a:graphic>
          </wp:inline>
        </w:drawing>
      </w:r>
      <w:r>
        <w:rPr>
          <w:color w:val="000000"/>
        </w:rPr>
        <w:t xml:space="preserv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SERVE ROBOTICS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Charter) </w:t>
      </w:r>
    </w:p>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000-56237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85-3844872</w:t>
            </w:r>
          </w:p>
        </w:tc>
      </w:tr>
      <w:tr>
        <w:trPr/>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tbl>
      <w:tblPr>
        <w:tblW w:w="4721" w:type="dxa"/>
        <w:jc w:val="left"/>
        <w:tblInd w:w="0" w:type="dxa"/>
        <w:tblLayout w:type="fixed"/>
        <w:tblCellMar>
          <w:top w:w="28" w:type="dxa"/>
          <w:left w:w="28" w:type="dxa"/>
          <w:bottom w:w="28" w:type="dxa"/>
          <w:right w:w="28" w:type="dxa"/>
        </w:tblCellMar>
      </w:tblPr>
      <w:tblGrid>
        <w:gridCol w:w="1215"/>
        <w:gridCol w:w="1068"/>
        <w:gridCol w:w="1076"/>
        <w:gridCol w:w="109"/>
        <w:gridCol w:w="109"/>
        <w:gridCol w:w="109"/>
        <w:gridCol w:w="303"/>
        <w:gridCol w:w="303"/>
        <w:gridCol w:w="429"/>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730 Broadway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Redwood City,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94063</w:t>
            </w:r>
          </w:p>
        </w:tc>
      </w:tr>
      <w:tr>
        <w:trPr/>
        <w:tc>
          <w:tcPr>
            <w:tcW w:w="335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(818) 860-1352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(Former Name or Former Address, if Changed Since Last Report)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40" w:after="283"/>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240" w:after="283"/>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240" w:after="283"/>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240" w:after="283"/>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color w:val="000000"/>
          <w:sz w:val="20"/>
        </w:rPr>
        <w:t>Item 2.02. Results of Operations and Financial Condition.</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2024, Serve Robotics Inc. (the “Company”) announced its financial results for the three months ended June 30, 2024. The full text of the press release issued in connection with the announcement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Item 7.01. Regulation FD Disclosure.</w:t>
      </w:r>
      <w:r>
        <w:rPr>
          <w:color w:val="000000"/>
        </w:rPr>
        <w:t xml:space="preser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13, 2024, the Company made available on its website a revised Company investor presentation. A copy of the presentation is furnished as Exhibit 99.2 to this Current Report on Form 8-K.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w:t>
      </w:r>
      <w:r>
        <w:rPr>
          <w:color w:val="000000"/>
        </w:rPr>
        <w:t xml:space="preserve"> </w:t>
      </w:r>
      <w:r>
        <w:rPr>
          <w:rFonts w:ascii="Times New Roman;sans-serif" w:hAnsi="Times New Roman;sans-serif"/>
          <w:b/>
          <w:color w:val="000000"/>
          <w:sz w:val="20"/>
        </w:rPr>
        <w:t>Financial Statements and Exhibits.</w:t>
      </w:r>
      <w:r>
        <w:rPr>
          <w:color w:val="000000"/>
        </w:rPr>
        <w:t xml:space="preserve"> </w:t>
      </w:r>
    </w:p>
    <w:p>
      <w:pPr>
        <w:pStyle w:val="TextBody"/>
        <w:bidi w:val="0"/>
        <w:spacing w:lineRule="auto" w:line="288" w:before="240" w:after="283"/>
        <w:ind w:left="0" w:right="0" w:hanging="302"/>
        <w:jc w:val="both"/>
        <w:rPr/>
      </w:pPr>
      <w:r>
        <w:rPr>
          <w:rFonts w:ascii="Times New Roman;sans-serif" w:hAnsi="Times New Roman;sans-serif"/>
          <w:b/>
          <w:color w:val="000000"/>
          <w:sz w:val="20"/>
        </w:rPr>
        <w:t>(d)List of Exhibits.</w:t>
      </w:r>
      <w:r>
        <w:rPr>
          <w:color w:val="000000"/>
        </w:rPr>
        <w:t xml:space="preserve"> </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erv-20240813xex991earning.htm">
              <w:r>
                <w:rPr>
                  <w:rStyle w:val="InternetLink"/>
                  <w:rFonts w:ascii="Times New Roman;sans-serif" w:hAnsi="Times New Roman;sans-serif"/>
                  <w:b w:val="false"/>
                  <w:color w:val="000080"/>
                  <w:sz w:val="20"/>
                  <w:u w:val="single"/>
                </w:rPr>
                <w:t xml:space="preserve">Press release, dated </w:t>
              </w:r>
            </w:hyperlink>
            <w:hyperlink w:anchor="serv-20240813xex991earning.htm">
              <w:r>
                <w:rPr>
                  <w:rStyle w:val="InternetLink"/>
                  <w:rFonts w:ascii="Times New Roman;sans-serif" w:hAnsi="Times New Roman;sans-serif"/>
                  <w:b w:val="false"/>
                  <w:color w:val="000080"/>
                  <w:sz w:val="20"/>
                  <w:u w:val="single"/>
                </w:rPr>
                <w:t>August 13</w:t>
              </w:r>
            </w:hyperlink>
            <w:hyperlink w:anchor="serv-20240813xex991earning.htm">
              <w:r>
                <w:rPr>
                  <w:rStyle w:val="InternetLink"/>
                  <w:rFonts w:ascii="Times New Roman;sans-serif" w:hAnsi="Times New Roman;sans-serif"/>
                  <w:b w:val="false"/>
                  <w:color w:val="000080"/>
                  <w:sz w:val="20"/>
                  <w:u w:val="single"/>
                </w:rPr>
                <w:t>, 2024</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ugust2024investordeck.htm">
              <w:r>
                <w:rPr>
                  <w:rStyle w:val="InternetLink"/>
                  <w:rFonts w:ascii="Times New Roman;sans-serif" w:hAnsi="Times New Roman;sans-serif"/>
                  <w:b w:val="false"/>
                  <w:color w:val="0000FF"/>
                  <w:sz w:val="20"/>
                  <w:u w:val="single"/>
                </w:rPr>
                <w:t>Investor Presentation, dated August 2024</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175" w:type="dxa"/>
        <w:jc w:val="left"/>
        <w:tblInd w:w="0" w:type="dxa"/>
        <w:tblLayout w:type="fixed"/>
        <w:tblCellMar>
          <w:top w:w="28" w:type="dxa"/>
          <w:left w:w="28" w:type="dxa"/>
          <w:bottom w:w="28" w:type="dxa"/>
          <w:right w:w="28" w:type="dxa"/>
        </w:tblCellMar>
      </w:tblPr>
      <w:tblGrid>
        <w:gridCol w:w="743"/>
        <w:gridCol w:w="653"/>
        <w:gridCol w:w="659"/>
        <w:gridCol w:w="912"/>
        <w:gridCol w:w="912"/>
        <w:gridCol w:w="1296"/>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Serve Robotics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13, 2024</w:t>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Ali Kashani</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 Kashani</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right"/>
        <w:rPr/>
      </w:pPr>
      <w:r>
        <w:rPr>
          <w:rFonts w:ascii="Times New Roman;sans-serif" w:hAnsi="Times New Roman;sans-serif"/>
          <w:b/>
          <w:color w:val="000000"/>
          <w:sz w:val="20"/>
        </w:rPr>
        <w:t>Exhibit 99.1</w:t>
      </w:r>
      <w:r>
        <w:rPr>
          <w:color w:val="000000"/>
        </w:rPr>
        <w:t xml:space="preserve"> </w:t>
      </w:r>
    </w:p>
    <w:p>
      <w:pPr>
        <w:pStyle w:val="TextBody"/>
        <w:bidi w:val="0"/>
        <w:spacing w:before="240" w:after="283"/>
        <w:jc w:val="left"/>
        <w:rPr/>
      </w:pPr>
      <w:r>
        <w:rPr/>
        <w:drawing>
          <wp:inline distT="0" distB="0" distL="0" distR="0">
            <wp:extent cx="1476375" cy="295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76375" cy="295275"/>
                    </a:xfrm>
                    <a:prstGeom prst="rect">
                      <a:avLst/>
                    </a:prstGeom>
                  </pic:spPr>
                </pic:pic>
              </a:graphicData>
            </a:graphic>
          </wp:inline>
        </w:drawing>
      </w:r>
    </w:p>
    <w:p>
      <w:pPr>
        <w:pStyle w:val="TextBody"/>
        <w:bidi w:val="0"/>
        <w:spacing w:lineRule="auto" w:line="288" w:before="160" w:after="283"/>
        <w:jc w:val="center"/>
        <w:rPr>
          <w:rFonts w:ascii="Times New Roman;sans-serif" w:hAnsi="Times New Roman;sans-serif"/>
          <w:b/>
          <w:i/>
          <w:color w:val="000000"/>
          <w:sz w:val="20"/>
        </w:rPr>
      </w:pPr>
      <w:r>
        <w:rPr>
          <w:rFonts w:ascii="Times New Roman;sans-serif" w:hAnsi="Times New Roman;sans-serif"/>
          <w:b/>
          <w:i/>
          <w:color w:val="000000"/>
          <w:sz w:val="20"/>
        </w:rPr>
        <w:t>Serve Robotics Announces Second Quarter 2024 Results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Manufacturing activities commenced on 2,000-robot fleet deployment following entry into manufacturing agreement with Magna and amendment to lidar supply agreement with Ouster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Cash position bolstered by proceeds of $40 million equity offering, as well as post-quarter $15 million private placement transaction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 FRANCISCO, August 13, 2024 — Serve Robotics Inc. (the “Company” or “Serve”) (Nasdaq: SERV), a leading autonomous sidewalk delivery company, today announced financial results for the second quarter 2024 ended June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pleased to report another strong quarter, extending our 30-month track record of double-digit month-over-month growth and improvements in key operational metrics," said Dr. Ali Kashani, Serve's Co-founder and CEO. "This quarter, we expanded into Koreatown in Los Angeles, signed important agreements with Magna International Inc. ("Magna") and expanded on our supply agreement with Ouster Inc. ("Ouster"), and appointed our Chief Hardware &amp; Manufacturing Officer to spearhead our fleet expansion efforts. I am particularly pleased to announce that Serve has completed the design of our third-generation robot. Looking ahead, we are focused on executing Serve's fleet expansion plan to deploy at least 250 additional robots in Los Angeles by the end of Q1 2025. We believe our continued execution of this plan through year end 2025 will position Serve to deploy all 2,000 robots under our Uber Eats agreement, which at full utilization is expected to generate $60 to $80 million in run-rate revenue annually."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Second Quarter 2024 and Recent Highlights </w:t>
      </w:r>
    </w:p>
    <w:p>
      <w:pPr>
        <w:pStyle w:val="TextBody"/>
        <w:bidi w:val="0"/>
        <w:spacing w:lineRule="auto" w:line="276" w:before="240" w:after="283"/>
        <w:ind w:left="0" w:right="0" w:hanging="360"/>
        <w:jc w:val="both"/>
        <w:rPr/>
      </w:pPr>
      <w:r>
        <w:rPr>
          <w:color w:val="000000"/>
        </w:rPr>
        <w:t>•</w:t>
      </w:r>
      <w:r>
        <w:rPr>
          <w:rFonts w:ascii="Times New Roman;sans-serif" w:hAnsi="Times New Roman;sans-serif"/>
          <w:b/>
          <w:color w:val="000000"/>
          <w:sz w:val="20"/>
        </w:rPr>
        <w:t>Public Offering &amp; Follow-on Transaction:</w:t>
      </w:r>
      <w:r>
        <w:rPr>
          <w:color w:val="000000"/>
        </w:rPr>
        <w:t xml:space="preserve"> </w:t>
      </w:r>
      <w:r>
        <w:rPr>
          <w:rFonts w:ascii="Times New Roman;sans-serif" w:hAnsi="Times New Roman;sans-serif"/>
          <w:b w:val="false"/>
          <w:color w:val="000000"/>
          <w:sz w:val="20"/>
        </w:rPr>
        <w:t>On April 18, 2024, Serve completed a successful public equity offering, which generated $40.0 million in gross proceeds, and through which Serve's common stock began trading on The Nasdaq Capital Market under the ticker symbol “SERV”. Post quarter-end, the company also completed a private placement transaction with gross proceeds of $15.0 million.</w:t>
      </w:r>
    </w:p>
    <w:p>
      <w:pPr>
        <w:pStyle w:val="TextBody"/>
        <w:bidi w:val="0"/>
        <w:spacing w:lineRule="auto" w:line="276" w:before="240" w:after="283"/>
        <w:ind w:left="0" w:right="0" w:hanging="360"/>
        <w:jc w:val="both"/>
        <w:rPr/>
      </w:pPr>
      <w:r>
        <w:rPr>
          <w:color w:val="000000"/>
        </w:rPr>
        <w:t>•</w:t>
      </w:r>
      <w:r>
        <w:rPr>
          <w:rFonts w:ascii="Times New Roman;sans-serif" w:hAnsi="Times New Roman;sans-serif"/>
          <w:b/>
          <w:color w:val="000000"/>
          <w:sz w:val="20"/>
        </w:rPr>
        <w:t xml:space="preserve">Operational Performance: </w:t>
      </w:r>
      <w:r>
        <w:rPr>
          <w:rFonts w:ascii="Times New Roman;sans-serif" w:hAnsi="Times New Roman;sans-serif"/>
          <w:b w:val="false"/>
          <w:color w:val="000000"/>
          <w:sz w:val="20"/>
        </w:rPr>
        <w:t>Serve averaged 385 daily supply hours during the second quarter 2024, a 106% increase year-over-year and a 28% increase quarter-over-quarter. The Company also achieved an 85% increase in daily active robots year-over-year and a 23% increase quarter-over-quarter.</w:t>
      </w:r>
    </w:p>
    <w:p>
      <w:pPr>
        <w:pStyle w:val="TextBody"/>
        <w:bidi w:val="0"/>
        <w:spacing w:lineRule="auto" w:line="276" w:before="240" w:after="283"/>
        <w:ind w:left="0" w:right="0" w:hanging="360"/>
        <w:jc w:val="both"/>
        <w:rPr/>
      </w:pPr>
      <w:r>
        <w:rPr>
          <w:color w:val="000000"/>
        </w:rPr>
        <w:t>•</w:t>
      </w:r>
      <w:r>
        <w:rPr>
          <w:rFonts w:ascii="Times New Roman;sans-serif" w:hAnsi="Times New Roman;sans-serif"/>
          <w:b/>
          <w:color w:val="000000"/>
          <w:sz w:val="20"/>
        </w:rPr>
        <w:t>Los Angeles Expansion:</w:t>
      </w:r>
      <w:r>
        <w:rPr>
          <w:color w:val="000000"/>
        </w:rPr>
        <w:t xml:space="preserve"> </w:t>
      </w:r>
      <w:r>
        <w:rPr>
          <w:rFonts w:ascii="Times New Roman;sans-serif" w:hAnsi="Times New Roman;sans-serif"/>
          <w:b w:val="false"/>
          <w:color w:val="000000"/>
          <w:sz w:val="20"/>
        </w:rPr>
        <w:t>In June 2024, Serve announced the expansion of its delivery operations into Koreatown and began onboarding new local merchants through its partnership with Uber Eats. The coverage expansion represents execution of Serve's long-term plan to broaden its geographic reach in Los Angeles and across the U.S.</w:t>
      </w:r>
    </w:p>
    <w:p>
      <w:pPr>
        <w:pStyle w:val="TextBody"/>
        <w:bidi w:val="0"/>
        <w:spacing w:lineRule="auto" w:line="276" w:before="240" w:after="283"/>
        <w:ind w:left="0" w:right="0" w:hanging="360"/>
        <w:jc w:val="both"/>
        <w:rPr/>
      </w:pPr>
      <w:r>
        <w:rPr>
          <w:color w:val="000000"/>
        </w:rPr>
        <w:t>•</w:t>
      </w:r>
      <w:r>
        <w:rPr>
          <w:rFonts w:ascii="Times New Roman;sans-serif" w:hAnsi="Times New Roman;sans-serif"/>
          <w:b/>
          <w:color w:val="000000"/>
          <w:sz w:val="20"/>
        </w:rPr>
        <w:t xml:space="preserve">Manufacturing activities commenced following Magna and Ouster agreements: </w:t>
      </w:r>
      <w:r>
        <w:rPr>
          <w:rFonts w:ascii="Times New Roman;sans-serif" w:hAnsi="Times New Roman;sans-serif"/>
          <w:b w:val="false"/>
          <w:color w:val="000000"/>
          <w:sz w:val="20"/>
        </w:rPr>
        <w:t>In the second quarter Serve commenced manufacturing activities on its 2,000-robot fleet, led by Euan Abraham, the Company's newly promoted Chief Hardware &amp; Manufacturing Officer. Serve also entered into a purchase and production agreement with Magna, under which Magna will become the contract manufacturer of Serve's delivery robots, and signed an amendment expanding its supply agreement with Ouster to equip its next-generation robots with upgraded sensors for enhanced performance.</w:t>
      </w:r>
    </w:p>
    <w:p>
      <w:pPr>
        <w:pStyle w:val="TextBody"/>
        <w:bidi w:val="0"/>
        <w:spacing w:lineRule="auto" w:line="288" w:before="240" w:after="283"/>
        <w:jc w:val="left"/>
        <w:rPr/>
      </w:pPr>
      <w:r>
        <w:rPr>
          <w:rFonts w:ascii="Times New Roman;sans-serif" w:hAnsi="Times New Roman;sans-serif"/>
          <w:b/>
          <w:color w:val="000000"/>
          <w:sz w:val="20"/>
        </w:rPr>
        <w:t>Second Quarter Financial Highlights</w:t>
      </w:r>
      <w:r>
        <w:rPr>
          <w:color w:val="000000"/>
        </w:rPr>
        <w:t xml:space="preserv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Second quarter revenue was $0.47 million, including $0.30 million of software service revenue derived from the Company’s software services agreement with Magna. As forecasted, Serve's services contract with Magna was significantly completed during the second quarter, and the Company does not anticipate material software services revenue in Q3 2024.</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As of June 30, 2024, the Company had $28.8 million of cash and cash equivalents. </w:t>
      </w:r>
    </w:p>
    <w:p>
      <w:pPr>
        <w:pStyle w:val="TextBody"/>
        <w:bidi w:val="0"/>
        <w:spacing w:before="0" w:after="0"/>
        <w:jc w:val="left"/>
        <w:rPr/>
      </w:pPr>
      <w:r>
        <w:rPr/>
        <w:drawing>
          <wp:inline distT="0" distB="0" distL="0" distR="0">
            <wp:extent cx="1476375" cy="2952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476375" cy="295275"/>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As of June 30, 2024, the Company had 36.5 million shares of common stock outstanding, and 42.6 million shares outstanding on a fully diluted basis. Following the Company’s July 2024 private placement, the Company had approximately 48.2 million shares outstanding on a fully diluted basis.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Quarterly Conference Call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management will host a conference call and webcast today at 2:00 p.m. PT / 5:00 p.m. ET to discuss the financial results and provide a corporate update. A live webcast and replay can be accessed from the investor relations page of Serve's website at investors.serverobotics.com.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Individuals interested in listening to the conference call may do so by dialing (646) 968-2525 and referencing conference ID#: 1640108.</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About Serve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Serve develops advanced, AI-powered, low-emissions sidewalk delivery robots that endeavor to make delivery sustainable and economical. Spun off from Uber in 2021 as an independent company, Serve has completed tens of thousands of deliveries for enterprise partners such as Uber Eats and 7-Eleven. Serve has scalable multi-year contracts, including a signed agreement to deploy up to 2,000 delivery robots on the Uber Eats platform across multiple U.S. markets.</w:t>
      </w:r>
    </w:p>
    <w:p>
      <w:pPr>
        <w:pStyle w:val="TextBody"/>
        <w:bidi w:val="0"/>
        <w:spacing w:before="0" w:after="0"/>
        <w:jc w:val="left"/>
        <w:rPr/>
      </w:pPr>
      <w:r>
        <w:rPr/>
      </w:r>
    </w:p>
    <w:p>
      <w:pPr>
        <w:pStyle w:val="TextBody"/>
        <w:bidi w:val="0"/>
        <w:spacing w:lineRule="auto" w:line="276"/>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Serve (Nasdaq: SERV), please visit www.serverobotics.com or follow us on social media via X (Twitter), Instagram, or LinkedIn @serverobotics.</w:t>
      </w:r>
    </w:p>
    <w:p>
      <w:pPr>
        <w:pStyle w:val="TextBody"/>
        <w:bidi w:val="0"/>
        <w:spacing w:before="0" w:after="0"/>
        <w:jc w:val="left"/>
        <w:rPr/>
      </w:pPr>
      <w:r>
        <w:rPr/>
        <w:drawing>
          <wp:inline distT="0" distB="0" distL="0" distR="0">
            <wp:extent cx="1476375" cy="29527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476375" cy="295275"/>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9"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Financial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metrics and financial tables outlined below are metrics that provide management with additional understanding of the drivers of business performance and the Company’s ability to deliver stockholder return. Investors should not place undue reliance on these metrics as indicators of future or expected results. The Company’s presentation of these metrics may differ from similarly titled metrics presented by other companies and therefore comparability may be limited.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Table 1: Key Metrics </w:t>
      </w:r>
    </w:p>
    <w:tbl>
      <w:tblPr>
        <w:tblW w:w="10186" w:type="dxa"/>
        <w:jc w:val="left"/>
        <w:tblInd w:w="0" w:type="dxa"/>
        <w:tblLayout w:type="fixed"/>
        <w:tblCellMar>
          <w:top w:w="28" w:type="dxa"/>
          <w:left w:w="28" w:type="dxa"/>
          <w:bottom w:w="28" w:type="dxa"/>
          <w:right w:w="28" w:type="dxa"/>
        </w:tblCellMar>
      </w:tblPr>
      <w:tblGrid>
        <w:gridCol w:w="722"/>
        <w:gridCol w:w="635"/>
        <w:gridCol w:w="637"/>
        <w:gridCol w:w="424"/>
        <w:gridCol w:w="424"/>
        <w:gridCol w:w="426"/>
        <w:gridCol w:w="125"/>
        <w:gridCol w:w="125"/>
        <w:gridCol w:w="125"/>
        <w:gridCol w:w="479"/>
        <w:gridCol w:w="479"/>
        <w:gridCol w:w="481"/>
        <w:gridCol w:w="125"/>
        <w:gridCol w:w="125"/>
        <w:gridCol w:w="125"/>
        <w:gridCol w:w="424"/>
        <w:gridCol w:w="424"/>
        <w:gridCol w:w="426"/>
        <w:gridCol w:w="109"/>
        <w:gridCol w:w="109"/>
        <w:gridCol w:w="109"/>
        <w:gridCol w:w="425"/>
        <w:gridCol w:w="425"/>
        <w:gridCol w:w="425"/>
        <w:gridCol w:w="178"/>
        <w:gridCol w:w="178"/>
        <w:gridCol w:w="178"/>
        <w:gridCol w:w="386"/>
        <w:gridCol w:w="386"/>
        <w:gridCol w:w="547"/>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Key Metrics</w:t>
            </w:r>
          </w:p>
        </w:tc>
        <w:tc>
          <w:tcPr>
            <w:tcW w:w="127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Daily Active Robots </w:t>
            </w:r>
            <w:r>
              <w:rPr>
                <w:rFonts w:ascii="Times New Roman;sans-serif" w:hAnsi="Times New Roman;sans-serif"/>
                <w:b w:val="false"/>
                <w:color w:val="000000"/>
                <w:sz w:val="13"/>
              </w:rPr>
              <w:t>(1)</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Daily Supply Hours </w:t>
            </w:r>
            <w:r>
              <w:rPr>
                <w:rFonts w:ascii="Times New Roman;sans-serif" w:hAnsi="Times New Roman;sans-serif"/>
                <w:b w:val="false"/>
                <w:color w:val="000000"/>
                <w:sz w:val="13"/>
              </w:rPr>
              <w:t>(2)</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r>
    </w:tbl>
    <w:p>
      <w:pPr>
        <w:pStyle w:val="TextBody"/>
        <w:bidi w:val="0"/>
        <w:spacing w:lineRule="auto" w:line="288" w:before="200" w:after="283"/>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i/>
          <w:color w:val="000000"/>
          <w:sz w:val="20"/>
        </w:rPr>
        <w:t xml:space="preserve">Daily Active Robots: </w:t>
      </w:r>
      <w:r>
        <w:rPr>
          <w:rFonts w:ascii="Times New Roman;sans-serif" w:hAnsi="Times New Roman;sans-serif"/>
          <w:b w:val="false"/>
          <w:color w:val="000000"/>
          <w:sz w:val="20"/>
        </w:rPr>
        <w:t>The Company defines daily active robots as the average number of robots performing daily deliveries during the period.</w:t>
      </w:r>
    </w:p>
    <w:p>
      <w:pPr>
        <w:pStyle w:val="TextBody"/>
        <w:bidi w:val="0"/>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i/>
          <w:color w:val="000000"/>
          <w:sz w:val="20"/>
        </w:rPr>
        <w:t xml:space="preserve">Daily Supply Hours: </w:t>
      </w:r>
      <w:r>
        <w:rPr>
          <w:rFonts w:ascii="Times New Roman;sans-serif" w:hAnsi="Times New Roman;sans-serif"/>
          <w:b w:val="false"/>
          <w:color w:val="000000"/>
          <w:sz w:val="20"/>
        </w:rPr>
        <w:t>The Company defines daily supply hours as the average number of hours the Company’s robots are ready to accept offers and perform daily deliveries during the period.</w:t>
      </w:r>
      <w:r>
        <w:rPr>
          <w:color w:val="000000"/>
        </w:rPr>
        <w:t xml:space="preserve"> </w:t>
      </w:r>
    </w:p>
    <w:p>
      <w:pPr>
        <w:pStyle w:val="TextBody"/>
        <w:bidi w:val="0"/>
        <w:spacing w:before="0" w:after="0"/>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Table 2: Revenue </w:t>
      </w:r>
    </w:p>
    <w:tbl>
      <w:tblPr>
        <w:tblW w:w="9426" w:type="dxa"/>
        <w:jc w:val="left"/>
        <w:tblInd w:w="0" w:type="dxa"/>
        <w:tblLayout w:type="fixed"/>
        <w:tblCellMar>
          <w:top w:w="28" w:type="dxa"/>
          <w:left w:w="28" w:type="dxa"/>
          <w:bottom w:w="28" w:type="dxa"/>
          <w:right w:w="28" w:type="dxa"/>
        </w:tblCellMar>
      </w:tblPr>
      <w:tblGrid>
        <w:gridCol w:w="547"/>
        <w:gridCol w:w="483"/>
        <w:gridCol w:w="484"/>
        <w:gridCol w:w="234"/>
        <w:gridCol w:w="919"/>
        <w:gridCol w:w="121"/>
        <w:gridCol w:w="109"/>
        <w:gridCol w:w="109"/>
        <w:gridCol w:w="109"/>
        <w:gridCol w:w="265"/>
        <w:gridCol w:w="1038"/>
        <w:gridCol w:w="137"/>
        <w:gridCol w:w="109"/>
        <w:gridCol w:w="109"/>
        <w:gridCol w:w="109"/>
        <w:gridCol w:w="258"/>
        <w:gridCol w:w="883"/>
        <w:gridCol w:w="133"/>
        <w:gridCol w:w="109"/>
        <w:gridCol w:w="109"/>
        <w:gridCol w:w="109"/>
        <w:gridCol w:w="211"/>
        <w:gridCol w:w="976"/>
        <w:gridCol w:w="109"/>
        <w:gridCol w:w="109"/>
        <w:gridCol w:w="109"/>
        <w:gridCol w:w="109"/>
        <w:gridCol w:w="234"/>
        <w:gridCol w:w="916"/>
        <w:gridCol w:w="170"/>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64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7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services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851,101 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Delivery services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Branding fees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468,375 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946,711 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 Looking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without limitation, statements regarding the Company’s partnership with Magna, timing of the Company’s robot deployment, the Company’s ability to expand to additional markets, and the Company’s timing and ability to scale to commercial production.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release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2023, our Quarterly Report on Form 10-Q for the three months ended June 30, 2024 that will be filed following this earnings release, and in our subsequent SEC filings. We can give no assurance that the plans, intentions, expectations or strategies as reflected in or suggested by those forward-looking </w:t>
      </w:r>
    </w:p>
    <w:p>
      <w:pPr>
        <w:pStyle w:val="TextBody"/>
        <w:bidi w:val="0"/>
        <w:spacing w:before="0" w:after="0"/>
        <w:jc w:val="left"/>
        <w:rPr/>
      </w:pPr>
      <w:r>
        <w:rPr/>
        <w:drawing>
          <wp:inline distT="0" distB="0" distL="0" distR="0">
            <wp:extent cx="1476375" cy="2952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476375" cy="295275"/>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1"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0"/>
        </w:rPr>
        <w:t>statements will be attained or achieved. The forward-looking statements in this release are based on information available to us as of the date hereof, and we disclaim any obligation to update any forward-looking statements, except as required by law. These forward-looking statements should not be relied upon as representing our views as of any date subsequent to the date of this press release.</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Aduke Thelwell, Head of Communications &amp; Investor Relations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Serve Robotics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aduke.thelwell@serverobotics.com</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347-464-8510</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investor.relations@serverobotics.com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76375" cy="2952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476375" cy="295275"/>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3"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Serve Robotics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As of June 30, 2024 and December 31, 2023</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17"/>
        <w:gridCol w:w="2320"/>
        <w:gridCol w:w="2068"/>
        <w:gridCol w:w="211"/>
        <w:gridCol w:w="1096"/>
        <w:gridCol w:w="109"/>
        <w:gridCol w:w="109"/>
        <w:gridCol w:w="109"/>
        <w:gridCol w:w="109"/>
        <w:gridCol w:w="211"/>
        <w:gridCol w:w="991"/>
        <w:gridCol w:w="155"/>
      </w:tblGrid>
      <w:tr>
        <w:trPr/>
        <w:tc>
          <w:tcPr>
            <w:tcW w:w="2717"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28,780,034 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774,349 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676,969 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Receivable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1,461,029 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782,439 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512,659 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32,766,496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2,804,549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 (DEFICIT)</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2,050,605 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255,849 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 current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 - related party</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liability, current portion</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496,963 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 portion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2,363,807 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 net of current portion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 liability</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liability</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4,302,755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6,837,955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 (deficit):</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10,000,000 shares authorized, no shares issued or outstanding as of both June 30, 2024 and December 31, 2023</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36,642,064 and 24,832,814 shares issued and 36,529,574 and 24,508,795 shares outstanding as of both June 30, 2024 and December 31, 2023</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114,869,809 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64,468,141 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receivable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(169,616)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(86,409,719)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(68,334,381)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 (deficit)</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28,463,741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(4,033,406)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32,766,496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2,804,549</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76375" cy="295275"/>
            <wp:effectExtent l="0" t="0" r="0" b="0"/>
            <wp:docPr id="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 descr=""/>
                    <pic:cNvPicPr>
                      <a:picLocks noChangeAspect="1" noChangeArrowheads="1"/>
                    </pic:cNvPicPr>
                  </pic:nvPicPr>
                  <pic:blipFill>
                    <a:blip r:embed="rId8"/>
                    <a:stretch>
                      <a:fillRect/>
                    </a:stretch>
                  </pic:blipFill>
                  <pic:spPr bwMode="auto">
                    <a:xfrm>
                      <a:off x="0" y="0"/>
                      <a:ext cx="1476375" cy="295275"/>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5"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Serve Robotics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Six Months Ended June 30, 2024 and 2023; and Three Months Ended March 31, 2024</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876"/>
        <w:gridCol w:w="597"/>
        <w:gridCol w:w="547"/>
        <w:gridCol w:w="211"/>
        <w:gridCol w:w="1001"/>
        <w:gridCol w:w="109"/>
        <w:gridCol w:w="109"/>
        <w:gridCol w:w="109"/>
        <w:gridCol w:w="109"/>
        <w:gridCol w:w="212"/>
        <w:gridCol w:w="1010"/>
        <w:gridCol w:w="109"/>
        <w:gridCol w:w="109"/>
        <w:gridCol w:w="109"/>
        <w:gridCol w:w="109"/>
        <w:gridCol w:w="211"/>
        <w:gridCol w:w="1001"/>
        <w:gridCol w:w="109"/>
        <w:gridCol w:w="109"/>
        <w:gridCol w:w="109"/>
        <w:gridCol w:w="109"/>
        <w:gridCol w:w="211"/>
        <w:gridCol w:w="1106"/>
        <w:gridCol w:w="109"/>
        <w:gridCol w:w="109"/>
        <w:gridCol w:w="109"/>
        <w:gridCol w:w="109"/>
        <w:gridCol w:w="211"/>
        <w:gridCol w:w="1106"/>
        <w:gridCol w:w="161"/>
      </w:tblGrid>
      <w:tr>
        <w:trPr/>
        <w:tc>
          <w:tcPr>
            <w:tcW w:w="87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142,362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594,273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(329,358)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736,635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(656,367)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8,698,049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8,305,722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3,772,288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17,003,771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20"/>
              </w:rPr>
              <w:t>7,672,493</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(8,555,687)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(7,711,449)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(4,101,646)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(16,267,136)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(8,328,860)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simple agreements for future equity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(1,236,912)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(481,680)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(1,326,522)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(864,610)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(1,808,202)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(1,775,518)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(9,037,367)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(9,037,971)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(4,966,256)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(18,075,338)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(10,104,378)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 and diluted</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33,795,009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29,176,370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6,678,372</w:t>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 basic and diluted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76375" cy="2952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476375" cy="295275"/>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7"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Serve Robotics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Cash Flows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2024 and 2023</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103" w:type="dxa"/>
        <w:jc w:val="left"/>
        <w:tblInd w:w="0" w:type="dxa"/>
        <w:tblLayout w:type="fixed"/>
        <w:tblCellMar>
          <w:top w:w="28" w:type="dxa"/>
          <w:left w:w="28" w:type="dxa"/>
          <w:bottom w:w="28" w:type="dxa"/>
          <w:right w:w="28" w:type="dxa"/>
        </w:tblCellMar>
      </w:tblPr>
      <w:tblGrid>
        <w:gridCol w:w="2451"/>
        <w:gridCol w:w="2157"/>
        <w:gridCol w:w="2171"/>
        <w:gridCol w:w="211"/>
        <w:gridCol w:w="1156"/>
        <w:gridCol w:w="109"/>
        <w:gridCol w:w="109"/>
        <w:gridCol w:w="109"/>
        <w:gridCol w:w="109"/>
        <w:gridCol w:w="211"/>
        <w:gridCol w:w="1156"/>
        <w:gridCol w:w="154"/>
      </w:tblGrid>
      <w:tr>
        <w:trPr/>
        <w:tc>
          <w:tcPr>
            <w:tcW w:w="245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47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(10,104,378)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conversion of note payable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simple agreements for future equity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recourse loan</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operating assets and liabilities: </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 receivable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 of use liabilities, net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(9,820,242)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(6,590,205)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property and equipment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simple agreement for future equity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convertible notes payable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 payable, related party</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 of warrants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pursuant to offering, net of offering costs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Repayments of note payable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Repayments of notes payable, related party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Repayment of lease liability financing </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(2,696,807)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28,780,034 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7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before="240" w:after="283"/>
        <w:ind w:left="0" w:right="0" w:firstLine="720"/>
        <w:jc w:val="left"/>
        <w:rPr/>
      </w:pPr>
      <w:r>
        <w:rPr/>
      </w:r>
    </w:p>
    <w:p>
      <w:pPr>
        <w:pStyle w:val="TextBody"/>
        <w:bidi w:val="0"/>
        <w:spacing w:before="0" w:after="0"/>
        <w:jc w:val="center"/>
        <w:rPr/>
      </w:pPr>
      <w:bookmarkStart w:id="0" w:name="august2024investordeck.htm"/>
      <w:bookmarkStart w:id="1" w:name="ksaugust2024investordeck"/>
      <w:bookmarkEnd w:id="0"/>
      <w:bookmarkEnd w:id="1"/>
      <w:r>
        <w:rPr/>
        <w:drawing>
          <wp:inline distT="0" distB="0" distL="0" distR="0">
            <wp:extent cx="9753600" cy="5486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jc w:val="center"/>
        <w:rPr>
          <w:color w:val="FFFFFF"/>
          <w:sz w:val="2"/>
        </w:rPr>
      </w:pPr>
      <w:r>
        <w:rPr>
          <w:color w:val="FFFFFF"/>
          <w:sz w:val="2"/>
        </w:rPr>
        <w:t xml:space="preserve">Robotic Last Mile Delivery August 2024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 LOOKING STATEMENTS This Serve Robotics Inc. (the “Company”) investor presentation contains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without limitation, statements regarding the Company’s partnership with Magna, timing of the Company’s robot deployment, the Company’s ability to expand to additional markets, and the Company’s timing and ability to scale to commercial production. The forward-looking statements contained in this investor presentation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2023, our Quarterly Report on Form 10-Q for the three months ended June 30, 2024, and in the Company’s subsequent SEC filings. The Company can give no assurance that the plans, intentions, expectations or strategies as reflected in or suggested by those forward-looking statements will be attained or achieved. The forward-looking statements in this presentation are based on information available to the Company as of the date hereof, and the Company disclaims any obligation to update any forward-looking statements, except as required by law. These forward-looking statements should not be relied upon as representing the Company’s views as of any date subsequent to the date of this presentation. INDUSTRY AND MARKET DATA In this presentation, the Company relies on and refers to information and statistics regarding the sectors in which the Company competes and other industry data. the Company obtained this information and statistics from third-party sources, including reports by market research firms. Although the Company believes these sources are reliable, the Company has not independently verified the information and does not guarantee its accuracy and completeness. The Company has supplemented this information where necessary with information from discussions with customers and the Company’s own internal estimates, taking into account publicly available information about other industry participants and the Company’s management’s best view as to information that is not publicly available. TRADEMARKS AND TRADE NAMES The Company owns or has rights to various trademarks, service marks and trade names that it uses in connection with the operation of its business. This presentation also contains trademarks, service marks and trade names of third parties, which are the property of their respective owners The use or display of third parties’ trademarks, service marks. trade names or products in this presentation is not intended in. and does not imply. a relationship with the Company or an endorsement or sponsorship by or of the Company. Solely for convenience, the trademarks. service marks and trade names referred to in this presentation may appear without the ©, ™ or SM symbols, but such references are not intended to indicate, in any way, that the Company will not assert, to the fullest extent under applicable law, its rights or the right of the applicable licensor in these trademarks, service marks and trade names.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Rapid progress in robotics and artificial intelligence (AI) can help reduce our reliance on cars ● U.S. drivers killed 20 pedestrians each day in 2021 1 ● Private cars &amp; vans caused ~10% of global energy-related CO2 emissions in 2022 2 ● Tailwinds accelerating robot adoption include: advances in AI, faster &amp; cheaper compute, cheaper sensors and ubiquitous data connectivity, as well as labor shortages, wage inflation &amp; new worker classification laws 1. “Share the Road: It’s Everyone’s Responsibility” (NHTSA, 2023) 2. “Cars and Vans” (IEA, 2022) Why move 2 lb burritos… in 2 ton cars?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$450B by 2030: The untapped market for robotic &amp; drone delivery 1 1. TAM calculation sourced from ARK (Big Ideas 2024) and Company estimates 2. Internal historical delivery data 3. Internal financial projections model Delivery is in hyper-growth, but costs prevent profits: ● +200% — DoorDash revenue growth (2020 to 2023) ● +235% — DoorDash cost of revenue increase (2020 to 2023) AI-powered robots are on a mission to make last mile delivery profitable: ● 2.5 miles — Median distance of food deliveries in the United States 2 ● $1.00 — Expected average cost of last mile delivery by Serve robots with increased autonomy and adoption 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Veterans in AI, robotics, last mile ● VP at Postmates. Co-founder/CTO at Neurio (acq. Generac) ● Ph.D. in Robotics (UBC) ● 15 patents Ali Kashani, Ph.D. CEO ● Director at Postmates ● Staff engineer at Postmates ● Founding engineer at Postmates X Dmitry Demeshchuk Software ● Director, Postmates. Head of Product, Anki. BigCommerce Lead, EA ● 17+ years leading product in, robotics, marketplaces, video games MJ Burk Chun Product ● VP Corp Dev at GoDaddy. Serial entrepreneur: UpCounsel (acq. LinkedIn), Webs (acq. Vistaprint), Jaxtr ● Graduate of Yale Law &amp; Stanford Touraj Parang President &amp; COO ● SVP Hardware at Latch. VP Hardware at GoPro. Lead engineer at Apple. ● BS in Engineering (U of Sheffield) Euan Abraham Hardware Brian Read CFO ● Controller at Apptronik Inc. ● Public Finance roles at REE Automotive and Coherent ● PricewaterCoopers; Certified Public Accountant (CPA) 5 Rajesh Radhakrishnan Autonomy ● Director at Ghost Autonomy; Head of ML at John Deere. Founding engineer at Blue River (acq. John Deere) ● MS in Computer Science (UT Arlington) Rajesh Radhakrishnan Autonomy ● Director at Ghost Autonomy; Head of ML at John Deere. Founding engineer at Blue River (acq. John Deere) ● MS in Computer Science (UT Arlington)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Investments by… 6 Technical partner since 2018.Largest shareholder &amp; commercial partner. German food delivery platform in EU &amp; Asia. First convenience store partner (13,000 stores in US/Canada).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Recent highlights 7 $15 million additional capital ● July 2024 private placement transaction with single institutional investor Operational expansion ● Q2 2024 saw 28% increase in average supply hours and 23% increase in daily active robots ● Expanded Los Angeles operations for delivery operations into Koreatown, LA Revenue growth ● Q2 2024 revenue of $0.46 million, including 80% sequential growth in our delivery and branding revenue, and $0.4 million in software service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Track record of growth: 1 market, 300+ restaurants 8 25% MoM growth 24 months of rapid increase in deliveries since early 2022 Up to 99.94% reliability delivery completion 10x better than drivers, with roughly 0.5 failed delivery per 1,000 Over 50,000 deliveries in L.A. 100 robots for deliveries &amp; R&amp;D Serve’s delivery volume in Los Angeles 1 1. All figures based on internal historical delivery data Serve’s Los Angeles Fleet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2000 robots under contract with 9 We have signed one of the largest contracts in the AV industry with Uber Eats. Full 2,000-robot deployment expected by the end of 2025. Our fleet is already integrated into Uber, helping grow to new markets more efficiently and achieve high levels of robot utilization ● Los Angeles (expansion): ○ At least 250 robots by end of Q1 2025 ● Expansion markets (new deployment): ○ Next new metro entered by end of Q2 2025 ○ Options include San Diego, Dallas, Vancouver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Design Design phase is complete for third generation robot. Engineering, validation, and test (“EVT”) units have entered validation and testing phase, and are in certification process. Manufacturing Magna secured as contract manufacturer. First robots to roll off production line by the end of Q4 2024. Initial materials procured from global supply chain network and initial manufacturing steps begun underway Deployment Goal: Deploy 2,000 robots by EOY 2025. At least 250 additional robots in Los Angeles expected by the end of Q1 2025. One new major metro by the end of Q2 2025. New markets under consideration include San Diego, Dallas, and Vancouver. Scaled Operation Goal: Improve operational performance and efficiency in new geographies over time. At full utilization, each robot expected to pay for itself in under one year. Generate consistent improvements to robot placement, autonomy software, and operations. Phased 2,000-robot rollout on track ✓ COMPLETED ON TRACK ON TRACK TO 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know delivery With unique insights from inception inside a delivery platform, we believe we have: ● Unique AI-powered robots ● Unique fleet operations ● Unique go-to-market strategy All-terrain 7 mph top speed 13 gallons of cargo, holds up to 4 pizzas All day battery Touch-screen interface Full-stack AV sensors Level 4 autonomy Redundant connectivity Built for Urban Delivery Using Proprietary Data (Postmates X)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High Safety &amp; Reliability Low rate of failure thanks to advanced hardware &amp; software, and redundant sensing &amp; AI Superior Economics Lower delivery cost due to underlying forces High Autonomy Level 4-capable fleet High Utilization Scaling on a major delivery platform High Efficiency Purpose-built for operation at scale We believe we are market leaders in urban robotic delivery Our AI-powered robots are on a mission to make urban delivery profitable: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Autonomous Urban Robots Autonomous Vehicles Drones Range Short Distance Medium Distance Long Distance Safety Risk Low High High Regulations Permitted Restricted Restricted Commercialization Launched R&amp;D R&amp;D Delivery robots target a large market segment with clear path to scale Delivery is multi-modal: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Robots have more diverse revenue opportunities than couriers Out-of-home (“OOH”) ads have supplemented our delivery revenue. Monetizing unique robot capabilities such as ads &amp; data, as well as licensing the underlying technology, make robots more profitable than couriers.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Serve as a platform Magna International has licensed our technology to accelerate development of its new robotic products As a leading urban robotic delivery company, we believe we are well-positioned to become a platform of choice for companies building new non-competing robots and services for complex public spaces. We believe this provides us with an additional monetization opportunity.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among the first AV companies to bring Level 4 delivery robots to market Level 2 &amp; 3 — R.C. Robots ● Humans always in the loop to maintain safe operation ● Safety risk due to reliance on data networks and human drivers ● Poor economics, hard to scale, and low barrier to entry Level 4 — Serve Robots ● No human in the loop for safety, within designated Operational Design Domain (ODD) ● Safety via redundancy ● Compelling economics, and strong moat through deep tech ● Regulatory tailwinds Level 5 — 100% Self-Driving ● No human in the loop at any time ● Not commercially viable today ● Strong regulatory headwinds ● Capital intensive Level 4 autonomy commercialized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a playbook for capital-efficient growth We have a proven model to finance building large fleets without high capex: 1. Financial partner The financial partner, as lessor, provides upfront capital for robots 2. Contract manufacturer Magna Int’l (tier 1 auto supplier) is Serve’s exclusive contract manufacturer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unbundling of cars After the invention of automobiles, the U.S. went from 25 million horses (1920s) to 283 million cars (2020s), or &gt;11 vehicles replacing each horse, according to some reports 1. We believe the development of specialized, efficient robots in the future has the potential to lead to similar proliferation of robots for every car. 1. 25m horses in the U.S. in 1920 (USDA) versus 283m vehicles in 2022 (US FHWA)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100% Gas Vehicle 20% Electric Vehicle Relative Energy Consumption Per Km 2: With global adoption, we believe delivery robots could reduce CO2 emissions by approximately 762 Mt annually, while also providing more convenience to consumers. 19 Robots could reduce global emissions by ~2% Annually 1 1. Estimated using internal data and 2022 global emissions from the Global Carbon Project 2. Transportation Research Part D: Transport and Environment (Vol 85, 2020)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Markets Update ● Total of $60.0 million in financing completed in 2024 ○ January: Issued $5.0 million convertible notes ○ April: Completed $40.0 million public offering and uplisted to Nasdaq Capital Market ○ July: Closed $15.0 million private placement transaction Q2 2024 Financial Results ● Q2 revenue: ○ $0.47 million, including $0.30 million of software service ○ As expected, Magna service contract substantially completed during the second quarter ● Delivery and branding highlights: ○ Revenue of $0.17 million, increase of 80% QoQ, and 178% over same period prior year ○ Gross margin improvement of 64% QoQ, and 85% compared to the same period prior year ● Cash and cash equivalents: ○ $28.8 million as of June 30, 2024 ○ Free cash flow, calculated as cash flow used in operations minus capital expenditures, was -$6.5 million and included $1.1 million related to initial manufacturing costs ○ Proceeds from July 2024 private placement to be use to extend the operational runway and other strategic investments ● Share Details: ○ 36.5 million shares outstanding as of June 30 (approx. 42.6 million shares on a fully diluted basis) ○ 37.1 million shares outstanding as of July 31 (approx. 48.2 million shares on a fully diluted basis) Financial Update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Key Metrics &amp; Revenue 22 ~28% increase in QoQ Daily Supply Hours Q2 Delivery and Branding increased 80% QoQ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4915</Words>
  <Characters>27715</Characters>
  <CharactersWithSpaces>32406</CharactersWithSpaces>
  <Paragraphs>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august2024investordeck</dc:title>
</cp:coreProperties>
</file>