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ea0290442-424b5_serve.htm"/>
      <w:bookmarkStart w:id="1" w:name="ksea0290442424b5_serve"/>
      <w:bookmarkEnd w:id="0"/>
      <w:bookmarkEnd w:id="1"/>
      <w:r>
        <w:rPr>
          <w:b/>
        </w:rPr>
        <w:t>Filed Pursuant to Rule 424(b)(5)</w:t>
      </w:r>
    </w:p>
    <w:p>
      <w:pPr>
        <w:pStyle w:val="TextBody"/>
        <w:bidi w:val="0"/>
        <w:jc w:val="right"/>
        <w:rPr>
          <w:b/>
        </w:rPr>
      </w:pPr>
      <w:r>
        <w:rPr>
          <w:b/>
        </w:rPr>
        <w:t>Registration No. 333-295746</w:t>
      </w:r>
    </w:p>
    <w:p>
      <w:pPr>
        <w:pStyle w:val="TextBody"/>
        <w:bidi w:val="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Up to $150,000,000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383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762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(the “Sales Agreement”) with Evercore Group L.L.C., Guggenheim Securities, LLC, Oppenheimer &amp; Co. Inc., Northland Securities, Inc. and Wedbush Securities Inc. (collectively, the “Agents”) relating to shares of our common stock, par value $0.0001 per share, offered by this prospectus supplement and the accompanying base prospectus (together, the “prospectus”). In accordance with the terms of the Sales Agreement, we may offer and sell shares of our common stock having an aggregate offering price of up to $150,000,000 from time to time through or to the Agents, acting as sales agents or principals.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will be made by any method permitted that is deemed an “at the market offering” as defined in Rule 415 under the Securities Act of 1933, as amended (the “Securities Act”). The Agents are not required to sell any specific number or dollar amount of securities, but the Agents have agreed to act as sales agents using their commercially reasonable efforts consistent with their normal sales and trading practices. There is no arrangement for funds to be received in any escrow, trust or similar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will be entitled to a commission up to 3.0% of the gross offering proceeds of the shares of our common stock sold pursuant to the Sales Agreement. In connection with the sale of the common stock on our behalf, each Agent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or the Securities Exchange Act of 1934, as amended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“SERV.” On May 13, 2026, the last reported sale price on Nasdaq of our common stock was $8.63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risks.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S-4 of this prospectus supplement and under similar headings in the other documents that are incorporated by reference into this prospectus supplement and the accompanying base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supplement or the accompanying base prospectus is truthful or complete. Any representation to the contrary is a criminal offense.</w:t>
      </w:r>
    </w:p>
    <w:p>
      <w:pPr>
        <w:pStyle w:val="TextBody"/>
        <w:bidi w:val="0"/>
        <w:spacing w:before="0" w:after="0"/>
        <w:ind w:left="0" w:right="0" w:firstLine="72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1580"/>
        <w:gridCol w:w="2825"/>
        <w:gridCol w:w="2540"/>
      </w:tblGrid>
      <w:tr>
        <w:trPr/>
        <w:tc>
          <w:tcPr>
            <w:tcW w:w="1580"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Evercore ISI</w:t>
            </w:r>
          </w:p>
        </w:tc>
        <w:tc>
          <w:tcPr>
            <w:tcW w:w="2825"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Guggenheim Securities</w:t>
            </w:r>
          </w:p>
        </w:tc>
        <w:tc>
          <w:tcPr>
            <w:tcW w:w="2540"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Oppenheimer &amp; Co.</w:t>
            </w:r>
          </w:p>
        </w:tc>
      </w:tr>
    </w:tbl>
    <w:p>
      <w:pPr>
        <w:pStyle w:val="TextBody"/>
        <w:bidi w:val="0"/>
        <w:spacing w:before="0" w:after="0"/>
        <w:ind w:left="0" w:right="0" w:firstLine="72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3395"/>
        <w:gridCol w:w="2420"/>
        <w:gridCol w:w="75"/>
      </w:tblGrid>
      <w:tr>
        <w:trPr/>
        <w:tc>
          <w:tcPr>
            <w:tcW w:w="75"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Northland Capital Markets</w:t>
            </w:r>
          </w:p>
        </w:tc>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Wedbush Securities</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caps/>
        </w:rPr>
      </w:pPr>
      <w:r>
        <w:rPr>
          <w:caps/>
        </w:rPr>
        <w:t> </w:t>
      </w:r>
    </w:p>
    <w:tbl>
      <w:tblPr>
        <w:tblW w:w="8575" w:type="dxa"/>
        <w:jc w:val="left"/>
        <w:tblInd w:w="0" w:type="dxa"/>
        <w:tblLayout w:type="fixed"/>
        <w:tblCellMar>
          <w:top w:w="0" w:type="dxa"/>
          <w:left w:w="0" w:type="dxa"/>
          <w:bottom w:w="0" w:type="dxa"/>
          <w:right w:w="0" w:type="dxa"/>
        </w:tblCellMar>
      </w:tblPr>
      <w:tblGrid>
        <w:gridCol w:w="8045"/>
        <w:gridCol w:w="530"/>
      </w:tblGrid>
      <w:tr>
        <w:trPr/>
        <w:tc>
          <w:tcPr>
            <w:tcW w:w="804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045" w:type="dxa"/>
            <w:tcBorders/>
            <w:shd w:fill="CCEEFF" w:val="clear"/>
            <w:vAlign w:val="center"/>
          </w:tcPr>
          <w:p>
            <w:pPr>
              <w:pStyle w:val="TableContents"/>
              <w:bidi w:val="0"/>
              <w:spacing w:before="0" w:after="283"/>
              <w:jc w:val="left"/>
              <w:rPr/>
            </w:pPr>
            <w:hyperlink w:anchor="a_017">
              <w:r>
                <w:rPr>
                  <w:rStyle w:val="InternetLink"/>
                </w:rPr>
                <w:t>ABOUT THIS PROSPECTUS SUPPLEMENT</w:t>
              </w:r>
            </w:hyperlink>
          </w:p>
        </w:tc>
        <w:tc>
          <w:tcPr>
            <w:tcW w:w="530" w:type="dxa"/>
            <w:tcBorders/>
            <w:shd w:fill="CCEEFF" w:val="clear"/>
            <w:vAlign w:val="center"/>
          </w:tcPr>
          <w:p>
            <w:pPr>
              <w:pStyle w:val="TableContents"/>
              <w:bidi w:val="0"/>
              <w:spacing w:before="0" w:after="283"/>
              <w:jc w:val="center"/>
              <w:rPr/>
            </w:pPr>
            <w:r>
              <w:rPr/>
              <w:t>S-ii</w:t>
            </w:r>
          </w:p>
        </w:tc>
      </w:tr>
      <w:tr>
        <w:trPr/>
        <w:tc>
          <w:tcPr>
            <w:tcW w:w="8045" w:type="dxa"/>
            <w:tcBorders/>
            <w:shd w:fill="FFFFFF" w:val="clear"/>
            <w:vAlign w:val="center"/>
          </w:tcPr>
          <w:p>
            <w:pPr>
              <w:pStyle w:val="TableContents"/>
              <w:bidi w:val="0"/>
              <w:spacing w:before="0" w:after="283"/>
              <w:jc w:val="left"/>
              <w:rPr/>
            </w:pPr>
            <w:hyperlink w:anchor="a_018">
              <w:r>
                <w:rPr>
                  <w:rStyle w:val="InternetLink"/>
                </w:rPr>
                <w:t>WHERE YOU CAN FIND MORE INFORMATION</w:t>
              </w:r>
            </w:hyperlink>
          </w:p>
        </w:tc>
        <w:tc>
          <w:tcPr>
            <w:tcW w:w="530" w:type="dxa"/>
            <w:tcBorders/>
            <w:shd w:fill="FFFFFF" w:val="clear"/>
            <w:vAlign w:val="center"/>
          </w:tcPr>
          <w:p>
            <w:pPr>
              <w:pStyle w:val="TableContents"/>
              <w:bidi w:val="0"/>
              <w:spacing w:before="0" w:after="283"/>
              <w:jc w:val="center"/>
              <w:rPr/>
            </w:pPr>
            <w:r>
              <w:rPr/>
              <w:t>S-iii</w:t>
            </w:r>
          </w:p>
        </w:tc>
      </w:tr>
      <w:tr>
        <w:trPr/>
        <w:tc>
          <w:tcPr>
            <w:tcW w:w="8045" w:type="dxa"/>
            <w:tcBorders/>
            <w:shd w:fill="CCEEFF" w:val="clear"/>
            <w:vAlign w:val="center"/>
          </w:tcPr>
          <w:p>
            <w:pPr>
              <w:pStyle w:val="TableContents"/>
              <w:bidi w:val="0"/>
              <w:spacing w:before="0" w:after="283"/>
              <w:jc w:val="left"/>
              <w:rPr/>
            </w:pPr>
            <w:hyperlink w:anchor="a_019">
              <w:r>
                <w:rPr>
                  <w:rStyle w:val="InternetLink"/>
                </w:rPr>
                <w:t>INCORPORATION OF CERTAIN DOCUMENTS BY REFERENCE</w:t>
              </w:r>
            </w:hyperlink>
          </w:p>
        </w:tc>
        <w:tc>
          <w:tcPr>
            <w:tcW w:w="530" w:type="dxa"/>
            <w:tcBorders/>
            <w:shd w:fill="CCEEFF" w:val="clear"/>
            <w:vAlign w:val="center"/>
          </w:tcPr>
          <w:p>
            <w:pPr>
              <w:pStyle w:val="TableContents"/>
              <w:bidi w:val="0"/>
              <w:spacing w:before="0" w:after="283"/>
              <w:jc w:val="center"/>
              <w:rPr/>
            </w:pPr>
            <w:r>
              <w:rPr/>
              <w:t>S-iv</w:t>
            </w:r>
          </w:p>
        </w:tc>
      </w:tr>
      <w:tr>
        <w:trPr/>
        <w:tc>
          <w:tcPr>
            <w:tcW w:w="8045" w:type="dxa"/>
            <w:tcBorders/>
            <w:shd w:fill="FFFFFF" w:val="clear"/>
            <w:vAlign w:val="center"/>
          </w:tcPr>
          <w:p>
            <w:pPr>
              <w:pStyle w:val="TableContents"/>
              <w:bidi w:val="0"/>
              <w:spacing w:before="0" w:after="283"/>
              <w:jc w:val="left"/>
              <w:rPr/>
            </w:pPr>
            <w:hyperlink w:anchor="a_020">
              <w:r>
                <w:rPr>
                  <w:rStyle w:val="InternetLink"/>
                </w:rPr>
                <w:t>PROSPECTUS SUMMARY</w:t>
              </w:r>
            </w:hyperlink>
          </w:p>
        </w:tc>
        <w:tc>
          <w:tcPr>
            <w:tcW w:w="530" w:type="dxa"/>
            <w:tcBorders/>
            <w:shd w:fill="FFFFFF" w:val="clear"/>
            <w:vAlign w:val="center"/>
          </w:tcPr>
          <w:p>
            <w:pPr>
              <w:pStyle w:val="TableContents"/>
              <w:bidi w:val="0"/>
              <w:spacing w:before="0" w:after="283"/>
              <w:jc w:val="center"/>
              <w:rPr/>
            </w:pPr>
            <w:r>
              <w:rPr/>
              <w:t>S-1</w:t>
            </w:r>
          </w:p>
        </w:tc>
      </w:tr>
      <w:tr>
        <w:trPr/>
        <w:tc>
          <w:tcPr>
            <w:tcW w:w="8045" w:type="dxa"/>
            <w:tcBorders/>
            <w:shd w:fill="CCEEFF" w:val="clear"/>
            <w:vAlign w:val="center"/>
          </w:tcPr>
          <w:p>
            <w:pPr>
              <w:pStyle w:val="TableContents"/>
              <w:bidi w:val="0"/>
              <w:spacing w:before="0" w:after="283"/>
              <w:jc w:val="left"/>
              <w:rPr/>
            </w:pPr>
            <w:hyperlink w:anchor="a_021">
              <w:r>
                <w:rPr>
                  <w:rStyle w:val="InternetLink"/>
                </w:rPr>
                <w:t>THE OFFERING</w:t>
              </w:r>
            </w:hyperlink>
          </w:p>
        </w:tc>
        <w:tc>
          <w:tcPr>
            <w:tcW w:w="530" w:type="dxa"/>
            <w:tcBorders/>
            <w:shd w:fill="CCEEFF" w:val="clear"/>
            <w:vAlign w:val="center"/>
          </w:tcPr>
          <w:p>
            <w:pPr>
              <w:pStyle w:val="TableContents"/>
              <w:bidi w:val="0"/>
              <w:spacing w:before="0" w:after="283"/>
              <w:jc w:val="center"/>
              <w:rPr/>
            </w:pPr>
            <w:r>
              <w:rPr/>
              <w:t>S-3</w:t>
            </w:r>
          </w:p>
        </w:tc>
      </w:tr>
      <w:tr>
        <w:trPr/>
        <w:tc>
          <w:tcPr>
            <w:tcW w:w="8045" w:type="dxa"/>
            <w:tcBorders/>
            <w:shd w:fill="FFFFFF" w:val="clear"/>
            <w:vAlign w:val="center"/>
          </w:tcPr>
          <w:p>
            <w:pPr>
              <w:pStyle w:val="TableContents"/>
              <w:bidi w:val="0"/>
              <w:spacing w:before="0" w:after="283"/>
              <w:jc w:val="left"/>
              <w:rPr/>
            </w:pPr>
            <w:hyperlink w:anchor="a_022">
              <w:r>
                <w:rPr>
                  <w:rStyle w:val="InternetLink"/>
                </w:rPr>
                <w:t>RISK FACTORS</w:t>
              </w:r>
            </w:hyperlink>
          </w:p>
        </w:tc>
        <w:tc>
          <w:tcPr>
            <w:tcW w:w="530" w:type="dxa"/>
            <w:tcBorders/>
            <w:shd w:fill="FFFFFF" w:val="clear"/>
            <w:vAlign w:val="center"/>
          </w:tcPr>
          <w:p>
            <w:pPr>
              <w:pStyle w:val="TableContents"/>
              <w:bidi w:val="0"/>
              <w:spacing w:before="0" w:after="283"/>
              <w:jc w:val="center"/>
              <w:rPr/>
            </w:pPr>
            <w:r>
              <w:rPr/>
              <w:t>S-4</w:t>
            </w:r>
          </w:p>
        </w:tc>
      </w:tr>
      <w:tr>
        <w:trPr/>
        <w:tc>
          <w:tcPr>
            <w:tcW w:w="8045" w:type="dxa"/>
            <w:tcBorders/>
            <w:shd w:fill="CCEEFF" w:val="clear"/>
            <w:vAlign w:val="center"/>
          </w:tcPr>
          <w:p>
            <w:pPr>
              <w:pStyle w:val="TableContents"/>
              <w:bidi w:val="0"/>
              <w:spacing w:before="0" w:after="283"/>
              <w:jc w:val="left"/>
              <w:rPr/>
            </w:pPr>
            <w:hyperlink w:anchor="a_023">
              <w:r>
                <w:rPr>
                  <w:rStyle w:val="InternetLink"/>
                </w:rPr>
                <w:t>CAUTIONARY NOTE REGARDING FORWARD-LOOKING STATEMENTS</w:t>
              </w:r>
            </w:hyperlink>
          </w:p>
        </w:tc>
        <w:tc>
          <w:tcPr>
            <w:tcW w:w="530" w:type="dxa"/>
            <w:tcBorders/>
            <w:shd w:fill="CCEEFF" w:val="clear"/>
            <w:vAlign w:val="center"/>
          </w:tcPr>
          <w:p>
            <w:pPr>
              <w:pStyle w:val="TableContents"/>
              <w:bidi w:val="0"/>
              <w:spacing w:before="0" w:after="283"/>
              <w:jc w:val="center"/>
              <w:rPr/>
            </w:pPr>
            <w:r>
              <w:rPr/>
              <w:t>S-8</w:t>
            </w:r>
          </w:p>
        </w:tc>
      </w:tr>
      <w:tr>
        <w:trPr/>
        <w:tc>
          <w:tcPr>
            <w:tcW w:w="8045" w:type="dxa"/>
            <w:tcBorders/>
            <w:shd w:fill="FFFFFF" w:val="clear"/>
            <w:vAlign w:val="center"/>
          </w:tcPr>
          <w:p>
            <w:pPr>
              <w:pStyle w:val="TableContents"/>
              <w:bidi w:val="0"/>
              <w:spacing w:before="0" w:after="283"/>
              <w:jc w:val="left"/>
              <w:rPr/>
            </w:pPr>
            <w:hyperlink w:anchor="a_024">
              <w:r>
                <w:rPr>
                  <w:rStyle w:val="InternetLink"/>
                </w:rPr>
                <w:t>USE OF PROCEEDS</w:t>
              </w:r>
            </w:hyperlink>
          </w:p>
        </w:tc>
        <w:tc>
          <w:tcPr>
            <w:tcW w:w="530" w:type="dxa"/>
            <w:tcBorders/>
            <w:shd w:fill="FFFFFF" w:val="clear"/>
            <w:vAlign w:val="center"/>
          </w:tcPr>
          <w:p>
            <w:pPr>
              <w:pStyle w:val="TableContents"/>
              <w:bidi w:val="0"/>
              <w:spacing w:before="0" w:after="283"/>
              <w:jc w:val="center"/>
              <w:rPr/>
            </w:pPr>
            <w:r>
              <w:rPr/>
              <w:t>S-9</w:t>
            </w:r>
          </w:p>
        </w:tc>
      </w:tr>
      <w:tr>
        <w:trPr/>
        <w:tc>
          <w:tcPr>
            <w:tcW w:w="8045" w:type="dxa"/>
            <w:tcBorders/>
            <w:shd w:fill="CCEEFF" w:val="clear"/>
            <w:vAlign w:val="center"/>
          </w:tcPr>
          <w:p>
            <w:pPr>
              <w:pStyle w:val="TableContents"/>
              <w:bidi w:val="0"/>
              <w:spacing w:before="0" w:after="283"/>
              <w:jc w:val="left"/>
              <w:rPr/>
            </w:pPr>
            <w:hyperlink w:anchor="a_025">
              <w:r>
                <w:rPr>
                  <w:rStyle w:val="InternetLink"/>
                </w:rPr>
                <w:t>DILUTION</w:t>
              </w:r>
            </w:hyperlink>
          </w:p>
        </w:tc>
        <w:tc>
          <w:tcPr>
            <w:tcW w:w="530" w:type="dxa"/>
            <w:tcBorders/>
            <w:shd w:fill="CCEEFF" w:val="clear"/>
            <w:vAlign w:val="center"/>
          </w:tcPr>
          <w:p>
            <w:pPr>
              <w:pStyle w:val="TableContents"/>
              <w:bidi w:val="0"/>
              <w:spacing w:before="0" w:after="283"/>
              <w:jc w:val="center"/>
              <w:rPr/>
            </w:pPr>
            <w:r>
              <w:rPr/>
              <w:t>S-10</w:t>
            </w:r>
          </w:p>
        </w:tc>
      </w:tr>
      <w:tr>
        <w:trPr/>
        <w:tc>
          <w:tcPr>
            <w:tcW w:w="8045" w:type="dxa"/>
            <w:tcBorders/>
            <w:shd w:fill="FFFFFF" w:val="clear"/>
            <w:vAlign w:val="center"/>
          </w:tcPr>
          <w:p>
            <w:pPr>
              <w:pStyle w:val="TableContents"/>
              <w:bidi w:val="0"/>
              <w:spacing w:before="0" w:after="283"/>
              <w:jc w:val="left"/>
              <w:rPr/>
            </w:pPr>
            <w:hyperlink w:anchor="a_026">
              <w:r>
                <w:rPr>
                  <w:rStyle w:val="InternetLink"/>
                </w:rPr>
                <w:t>DIVIDEND POLICY</w:t>
              </w:r>
            </w:hyperlink>
          </w:p>
        </w:tc>
        <w:tc>
          <w:tcPr>
            <w:tcW w:w="530" w:type="dxa"/>
            <w:tcBorders/>
            <w:shd w:fill="FFFFFF" w:val="clear"/>
            <w:vAlign w:val="center"/>
          </w:tcPr>
          <w:p>
            <w:pPr>
              <w:pStyle w:val="TableContents"/>
              <w:bidi w:val="0"/>
              <w:spacing w:before="0" w:after="283"/>
              <w:jc w:val="center"/>
              <w:rPr/>
            </w:pPr>
            <w:r>
              <w:rPr/>
              <w:t>S-12</w:t>
            </w:r>
          </w:p>
        </w:tc>
      </w:tr>
      <w:tr>
        <w:trPr/>
        <w:tc>
          <w:tcPr>
            <w:tcW w:w="8045" w:type="dxa"/>
            <w:tcBorders/>
            <w:shd w:fill="CCEEFF" w:val="clear"/>
            <w:vAlign w:val="center"/>
          </w:tcPr>
          <w:p>
            <w:pPr>
              <w:pStyle w:val="TableContents"/>
              <w:bidi w:val="0"/>
              <w:spacing w:before="0" w:after="283"/>
              <w:jc w:val="left"/>
              <w:rPr/>
            </w:pPr>
            <w:hyperlink w:anchor="a_027">
              <w:r>
                <w:rPr>
                  <w:rStyle w:val="InternetLink"/>
                </w:rPr>
                <w:t>PLAN OF DISTRIBUTION</w:t>
              </w:r>
            </w:hyperlink>
          </w:p>
        </w:tc>
        <w:tc>
          <w:tcPr>
            <w:tcW w:w="530" w:type="dxa"/>
            <w:tcBorders/>
            <w:shd w:fill="CCEEFF" w:val="clear"/>
            <w:vAlign w:val="center"/>
          </w:tcPr>
          <w:p>
            <w:pPr>
              <w:pStyle w:val="TableContents"/>
              <w:bidi w:val="0"/>
              <w:spacing w:before="0" w:after="283"/>
              <w:jc w:val="center"/>
              <w:rPr/>
            </w:pPr>
            <w:r>
              <w:rPr/>
              <w:t>S-13</w:t>
            </w:r>
          </w:p>
        </w:tc>
      </w:tr>
      <w:tr>
        <w:trPr/>
        <w:tc>
          <w:tcPr>
            <w:tcW w:w="8045" w:type="dxa"/>
            <w:tcBorders/>
            <w:shd w:fill="FFFFFF" w:val="clear"/>
            <w:vAlign w:val="center"/>
          </w:tcPr>
          <w:p>
            <w:pPr>
              <w:pStyle w:val="TableContents"/>
              <w:bidi w:val="0"/>
              <w:spacing w:before="0" w:after="283"/>
              <w:jc w:val="left"/>
              <w:rPr/>
            </w:pPr>
            <w:hyperlink w:anchor="a_028">
              <w:r>
                <w:rPr>
                  <w:rStyle w:val="InternetLink"/>
                </w:rPr>
                <w:t>LEGAL MATTERS</w:t>
              </w:r>
            </w:hyperlink>
          </w:p>
        </w:tc>
        <w:tc>
          <w:tcPr>
            <w:tcW w:w="530" w:type="dxa"/>
            <w:tcBorders/>
            <w:shd w:fill="FFFFFF" w:val="clear"/>
            <w:vAlign w:val="center"/>
          </w:tcPr>
          <w:p>
            <w:pPr>
              <w:pStyle w:val="TableContents"/>
              <w:bidi w:val="0"/>
              <w:spacing w:before="0" w:after="283"/>
              <w:jc w:val="center"/>
              <w:rPr/>
            </w:pPr>
            <w:r>
              <w:rPr/>
              <w:t>S-14</w:t>
            </w:r>
          </w:p>
        </w:tc>
      </w:tr>
      <w:tr>
        <w:trPr/>
        <w:tc>
          <w:tcPr>
            <w:tcW w:w="8045" w:type="dxa"/>
            <w:tcBorders/>
            <w:shd w:fill="CCEEFF" w:val="clear"/>
            <w:vAlign w:val="center"/>
          </w:tcPr>
          <w:p>
            <w:pPr>
              <w:pStyle w:val="TableContents"/>
              <w:bidi w:val="0"/>
              <w:spacing w:before="0" w:after="283"/>
              <w:jc w:val="left"/>
              <w:rPr/>
            </w:pPr>
            <w:hyperlink w:anchor="a_029">
              <w:r>
                <w:rPr>
                  <w:rStyle w:val="InternetLink"/>
                </w:rPr>
                <w:t>EXPERTS</w:t>
              </w:r>
            </w:hyperlink>
          </w:p>
        </w:tc>
        <w:tc>
          <w:tcPr>
            <w:tcW w:w="530" w:type="dxa"/>
            <w:tcBorders/>
            <w:shd w:fill="CCEEFF" w:val="clear"/>
            <w:vAlign w:val="center"/>
          </w:tcPr>
          <w:p>
            <w:pPr>
              <w:pStyle w:val="TableContents"/>
              <w:bidi w:val="0"/>
              <w:spacing w:before="0" w:after="283"/>
              <w:jc w:val="center"/>
              <w:rPr/>
            </w:pPr>
            <w:r>
              <w:rPr/>
              <w:t>S-15</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8165"/>
        <w:gridCol w:w="530"/>
      </w:tblGrid>
      <w:tr>
        <w:trPr/>
        <w:tc>
          <w:tcPr>
            <w:tcW w:w="816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165" w:type="dxa"/>
            <w:tcBorders/>
            <w:shd w:fill="CCEEFF" w:val="clear"/>
            <w:vAlign w:val="center"/>
          </w:tcPr>
          <w:p>
            <w:pPr>
              <w:pStyle w:val="TableContents"/>
              <w:bidi w:val="0"/>
              <w:spacing w:before="0" w:after="283"/>
              <w:jc w:val="left"/>
              <w:rPr/>
            </w:pPr>
            <w:hyperlink w:anchor="b_001">
              <w:r>
                <w:rPr>
                  <w:rStyle w:val="InternetLink"/>
                </w:rPr>
                <w:t>ABOUT THIS BASE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8165" w:type="dxa"/>
            <w:tcBorders/>
            <w:shd w:fill="FFFFFF" w:val="clear"/>
            <w:vAlign w:val="center"/>
          </w:tcPr>
          <w:p>
            <w:pPr>
              <w:pStyle w:val="TableContents"/>
              <w:bidi w:val="0"/>
              <w:spacing w:before="0" w:after="283"/>
              <w:jc w:val="left"/>
              <w:rPr/>
            </w:pPr>
            <w:hyperlink w:anchor="b_002">
              <w:r>
                <w:rPr>
                  <w:rStyle w:val="InternetLink"/>
                </w:rPr>
                <w:t>PROSPECTUS SUMMARY</w:t>
              </w:r>
            </w:hyperlink>
          </w:p>
        </w:tc>
        <w:tc>
          <w:tcPr>
            <w:tcW w:w="530" w:type="dxa"/>
            <w:tcBorders/>
            <w:shd w:fill="FFFFFF" w:val="clear"/>
            <w:vAlign w:val="center"/>
          </w:tcPr>
          <w:p>
            <w:pPr>
              <w:pStyle w:val="TableContents"/>
              <w:bidi w:val="0"/>
              <w:spacing w:before="0" w:after="283"/>
              <w:jc w:val="center"/>
              <w:rPr/>
            </w:pPr>
            <w:r>
              <w:rPr/>
              <w:t>1</w:t>
            </w:r>
          </w:p>
        </w:tc>
      </w:tr>
      <w:tr>
        <w:trPr/>
        <w:tc>
          <w:tcPr>
            <w:tcW w:w="8165" w:type="dxa"/>
            <w:tcBorders/>
            <w:shd w:fill="CCEEFF" w:val="clear"/>
            <w:vAlign w:val="center"/>
          </w:tcPr>
          <w:p>
            <w:pPr>
              <w:pStyle w:val="TableContents"/>
              <w:bidi w:val="0"/>
              <w:spacing w:before="0" w:after="283"/>
              <w:jc w:val="left"/>
              <w:rPr/>
            </w:pPr>
            <w:hyperlink w:anchor="b_003">
              <w:r>
                <w:rPr>
                  <w:rStyle w:val="InternetLink"/>
                </w:rPr>
                <w:t>RISK FACTORS</w:t>
              </w:r>
            </w:hyperlink>
          </w:p>
        </w:tc>
        <w:tc>
          <w:tcPr>
            <w:tcW w:w="530" w:type="dxa"/>
            <w:tcBorders/>
            <w:shd w:fill="CCEEFF" w:val="clear"/>
            <w:vAlign w:val="center"/>
          </w:tcPr>
          <w:p>
            <w:pPr>
              <w:pStyle w:val="TableContents"/>
              <w:bidi w:val="0"/>
              <w:spacing w:before="0" w:after="283"/>
              <w:jc w:val="center"/>
              <w:rPr/>
            </w:pPr>
            <w:r>
              <w:rPr/>
              <w:t>4</w:t>
            </w:r>
          </w:p>
        </w:tc>
      </w:tr>
      <w:tr>
        <w:trPr/>
        <w:tc>
          <w:tcPr>
            <w:tcW w:w="8165" w:type="dxa"/>
            <w:tcBorders/>
            <w:shd w:fill="FFFFFF" w:val="clear"/>
            <w:vAlign w:val="center"/>
          </w:tcPr>
          <w:p>
            <w:pPr>
              <w:pStyle w:val="TableContents"/>
              <w:bidi w:val="0"/>
              <w:spacing w:before="0" w:after="283"/>
              <w:jc w:val="left"/>
              <w:rPr/>
            </w:pPr>
            <w:hyperlink w:anchor="b_004">
              <w:r>
                <w:rPr>
                  <w:rStyle w:val="InternetLink"/>
                </w:rPr>
                <w:t>CAUTIONARY NOTE REGARDING FORWARD-LOOKING INFORMATION</w:t>
              </w:r>
            </w:hyperlink>
          </w:p>
        </w:tc>
        <w:tc>
          <w:tcPr>
            <w:tcW w:w="530" w:type="dxa"/>
            <w:tcBorders/>
            <w:shd w:fill="FFFFFF" w:val="clear"/>
            <w:vAlign w:val="center"/>
          </w:tcPr>
          <w:p>
            <w:pPr>
              <w:pStyle w:val="TableContents"/>
              <w:bidi w:val="0"/>
              <w:spacing w:before="0" w:after="283"/>
              <w:jc w:val="center"/>
              <w:rPr/>
            </w:pPr>
            <w:r>
              <w:rPr/>
              <w:t>5</w:t>
            </w:r>
          </w:p>
        </w:tc>
      </w:tr>
      <w:tr>
        <w:trPr/>
        <w:tc>
          <w:tcPr>
            <w:tcW w:w="8165" w:type="dxa"/>
            <w:tcBorders/>
            <w:shd w:fill="CCEEFF" w:val="clear"/>
            <w:vAlign w:val="center"/>
          </w:tcPr>
          <w:p>
            <w:pPr>
              <w:pStyle w:val="TableContents"/>
              <w:bidi w:val="0"/>
              <w:spacing w:before="0" w:after="283"/>
              <w:jc w:val="left"/>
              <w:rPr/>
            </w:pPr>
            <w:hyperlink w:anchor="b_005">
              <w:r>
                <w:rPr>
                  <w:rStyle w:val="InternetLink"/>
                </w:rPr>
                <w:t>USE OF PROCEEDS</w:t>
              </w:r>
            </w:hyperlink>
          </w:p>
        </w:tc>
        <w:tc>
          <w:tcPr>
            <w:tcW w:w="530" w:type="dxa"/>
            <w:tcBorders/>
            <w:shd w:fill="CCEEFF" w:val="clear"/>
            <w:vAlign w:val="center"/>
          </w:tcPr>
          <w:p>
            <w:pPr>
              <w:pStyle w:val="TableContents"/>
              <w:bidi w:val="0"/>
              <w:spacing w:before="0" w:after="283"/>
              <w:jc w:val="center"/>
              <w:rPr/>
            </w:pPr>
            <w:r>
              <w:rPr/>
              <w:t>6</w:t>
            </w:r>
          </w:p>
        </w:tc>
      </w:tr>
      <w:tr>
        <w:trPr/>
        <w:tc>
          <w:tcPr>
            <w:tcW w:w="8165" w:type="dxa"/>
            <w:tcBorders/>
            <w:shd w:fill="FFFFFF" w:val="clear"/>
            <w:vAlign w:val="center"/>
          </w:tcPr>
          <w:p>
            <w:pPr>
              <w:pStyle w:val="TableContents"/>
              <w:bidi w:val="0"/>
              <w:spacing w:before="0" w:after="283"/>
              <w:jc w:val="left"/>
              <w:rPr/>
            </w:pPr>
            <w:hyperlink w:anchor="b_006">
              <w:r>
                <w:rPr>
                  <w:rStyle w:val="InternetLink"/>
                </w:rPr>
                <w:t>DESCRIPTION OF CAPITAL STOCK</w:t>
              </w:r>
            </w:hyperlink>
          </w:p>
        </w:tc>
        <w:tc>
          <w:tcPr>
            <w:tcW w:w="530" w:type="dxa"/>
            <w:tcBorders/>
            <w:shd w:fill="FFFFFF" w:val="clear"/>
            <w:vAlign w:val="center"/>
          </w:tcPr>
          <w:p>
            <w:pPr>
              <w:pStyle w:val="TableContents"/>
              <w:bidi w:val="0"/>
              <w:spacing w:before="0" w:after="283"/>
              <w:jc w:val="center"/>
              <w:rPr/>
            </w:pPr>
            <w:r>
              <w:rPr/>
              <w:t>7</w:t>
            </w:r>
          </w:p>
        </w:tc>
      </w:tr>
      <w:tr>
        <w:trPr/>
        <w:tc>
          <w:tcPr>
            <w:tcW w:w="8165" w:type="dxa"/>
            <w:tcBorders/>
            <w:shd w:fill="CCEEFF" w:val="clear"/>
            <w:vAlign w:val="center"/>
          </w:tcPr>
          <w:p>
            <w:pPr>
              <w:pStyle w:val="TableContents"/>
              <w:bidi w:val="0"/>
              <w:spacing w:before="0" w:after="283"/>
              <w:jc w:val="left"/>
              <w:rPr/>
            </w:pPr>
            <w:hyperlink w:anchor="b_007">
              <w:r>
                <w:rPr>
                  <w:rStyle w:val="InternetLink"/>
                </w:rPr>
                <w:t>ADDITIONAL INFORMATION CONCERNING OUR CAPITAL STOCK</w:t>
              </w:r>
            </w:hyperlink>
          </w:p>
        </w:tc>
        <w:tc>
          <w:tcPr>
            <w:tcW w:w="530" w:type="dxa"/>
            <w:tcBorders/>
            <w:shd w:fill="CCEEFF" w:val="clear"/>
            <w:vAlign w:val="center"/>
          </w:tcPr>
          <w:p>
            <w:pPr>
              <w:pStyle w:val="TableContents"/>
              <w:bidi w:val="0"/>
              <w:spacing w:before="0" w:after="283"/>
              <w:jc w:val="center"/>
              <w:rPr/>
            </w:pPr>
            <w:r>
              <w:rPr/>
              <w:t>9</w:t>
            </w:r>
          </w:p>
        </w:tc>
      </w:tr>
      <w:tr>
        <w:trPr/>
        <w:tc>
          <w:tcPr>
            <w:tcW w:w="8165" w:type="dxa"/>
            <w:tcBorders/>
            <w:shd w:fill="FFFFFF" w:val="clear"/>
            <w:vAlign w:val="center"/>
          </w:tcPr>
          <w:p>
            <w:pPr>
              <w:pStyle w:val="TableContents"/>
              <w:bidi w:val="0"/>
              <w:spacing w:before="0" w:after="283"/>
              <w:jc w:val="left"/>
              <w:rPr/>
            </w:pPr>
            <w:hyperlink w:anchor="b_008">
              <w:r>
                <w:rPr>
                  <w:rStyle w:val="InternetLink"/>
                </w:rPr>
                <w:t>DESCRIPTION OF DEBT SECURITIES</w:t>
              </w:r>
            </w:hyperlink>
          </w:p>
        </w:tc>
        <w:tc>
          <w:tcPr>
            <w:tcW w:w="530" w:type="dxa"/>
            <w:tcBorders/>
            <w:shd w:fill="FFFFFF" w:val="clear"/>
            <w:vAlign w:val="center"/>
          </w:tcPr>
          <w:p>
            <w:pPr>
              <w:pStyle w:val="TableContents"/>
              <w:bidi w:val="0"/>
              <w:spacing w:before="0" w:after="283"/>
              <w:jc w:val="center"/>
              <w:rPr/>
            </w:pPr>
            <w:r>
              <w:rPr/>
              <w:t>13</w:t>
            </w:r>
          </w:p>
        </w:tc>
      </w:tr>
      <w:tr>
        <w:trPr/>
        <w:tc>
          <w:tcPr>
            <w:tcW w:w="8165" w:type="dxa"/>
            <w:tcBorders/>
            <w:shd w:fill="CCEEFF" w:val="clear"/>
            <w:vAlign w:val="center"/>
          </w:tcPr>
          <w:p>
            <w:pPr>
              <w:pStyle w:val="TableContents"/>
              <w:bidi w:val="0"/>
              <w:spacing w:before="0" w:after="283"/>
              <w:jc w:val="left"/>
              <w:rPr/>
            </w:pPr>
            <w:hyperlink w:anchor="b_009">
              <w:r>
                <w:rPr>
                  <w:rStyle w:val="InternetLink"/>
                </w:rPr>
                <w:t>DESCRIPTION OF WARRANTS</w:t>
              </w:r>
            </w:hyperlink>
          </w:p>
        </w:tc>
        <w:tc>
          <w:tcPr>
            <w:tcW w:w="530" w:type="dxa"/>
            <w:tcBorders/>
            <w:shd w:fill="CCEEFF" w:val="clear"/>
            <w:vAlign w:val="center"/>
          </w:tcPr>
          <w:p>
            <w:pPr>
              <w:pStyle w:val="TableContents"/>
              <w:bidi w:val="0"/>
              <w:spacing w:before="0" w:after="283"/>
              <w:jc w:val="center"/>
              <w:rPr/>
            </w:pPr>
            <w:r>
              <w:rPr/>
              <w:t>21</w:t>
            </w:r>
          </w:p>
        </w:tc>
      </w:tr>
      <w:tr>
        <w:trPr/>
        <w:tc>
          <w:tcPr>
            <w:tcW w:w="8165" w:type="dxa"/>
            <w:tcBorders/>
            <w:shd w:fill="FFFFFF" w:val="clear"/>
            <w:vAlign w:val="center"/>
          </w:tcPr>
          <w:p>
            <w:pPr>
              <w:pStyle w:val="TableContents"/>
              <w:bidi w:val="0"/>
              <w:spacing w:before="0" w:after="283"/>
              <w:jc w:val="left"/>
              <w:rPr/>
            </w:pPr>
            <w:hyperlink w:anchor="b_010">
              <w:r>
                <w:rPr>
                  <w:rStyle w:val="InternetLink"/>
                </w:rPr>
                <w:t>DESCRIPTION OF RIGHTS</w:t>
              </w:r>
            </w:hyperlink>
          </w:p>
        </w:tc>
        <w:tc>
          <w:tcPr>
            <w:tcW w:w="530" w:type="dxa"/>
            <w:tcBorders/>
            <w:shd w:fill="FFFFFF" w:val="clear"/>
            <w:vAlign w:val="center"/>
          </w:tcPr>
          <w:p>
            <w:pPr>
              <w:pStyle w:val="TableContents"/>
              <w:bidi w:val="0"/>
              <w:spacing w:before="0" w:after="283"/>
              <w:jc w:val="center"/>
              <w:rPr/>
            </w:pPr>
            <w:r>
              <w:rPr/>
              <w:t>23</w:t>
            </w:r>
          </w:p>
        </w:tc>
      </w:tr>
      <w:tr>
        <w:trPr/>
        <w:tc>
          <w:tcPr>
            <w:tcW w:w="8165" w:type="dxa"/>
            <w:tcBorders/>
            <w:shd w:fill="CCEEFF" w:val="clear"/>
            <w:vAlign w:val="center"/>
          </w:tcPr>
          <w:p>
            <w:pPr>
              <w:pStyle w:val="TableContents"/>
              <w:bidi w:val="0"/>
              <w:spacing w:before="0" w:after="283"/>
              <w:jc w:val="left"/>
              <w:rPr/>
            </w:pPr>
            <w:hyperlink w:anchor="b_011">
              <w:r>
                <w:rPr>
                  <w:rStyle w:val="InternetLink"/>
                </w:rPr>
                <w:t>DESCRIPTION OF UNITS</w:t>
              </w:r>
            </w:hyperlink>
          </w:p>
        </w:tc>
        <w:tc>
          <w:tcPr>
            <w:tcW w:w="530" w:type="dxa"/>
            <w:tcBorders/>
            <w:shd w:fill="CCEEFF" w:val="clear"/>
            <w:vAlign w:val="center"/>
          </w:tcPr>
          <w:p>
            <w:pPr>
              <w:pStyle w:val="TableContents"/>
              <w:bidi w:val="0"/>
              <w:spacing w:before="0" w:after="283"/>
              <w:jc w:val="center"/>
              <w:rPr/>
            </w:pPr>
            <w:r>
              <w:rPr/>
              <w:t>24</w:t>
            </w:r>
          </w:p>
        </w:tc>
      </w:tr>
      <w:tr>
        <w:trPr/>
        <w:tc>
          <w:tcPr>
            <w:tcW w:w="8165" w:type="dxa"/>
            <w:tcBorders/>
            <w:shd w:fill="FFFFFF" w:val="clear"/>
            <w:vAlign w:val="center"/>
          </w:tcPr>
          <w:p>
            <w:pPr>
              <w:pStyle w:val="TableContents"/>
              <w:bidi w:val="0"/>
              <w:spacing w:before="0" w:after="283"/>
              <w:jc w:val="left"/>
              <w:rPr/>
            </w:pPr>
            <w:hyperlink w:anchor="b_012">
              <w:r>
                <w:rPr>
                  <w:rStyle w:val="InternetLink"/>
                </w:rPr>
                <w:t>PLAN OF DISTRIBUTION</w:t>
              </w:r>
            </w:hyperlink>
          </w:p>
        </w:tc>
        <w:tc>
          <w:tcPr>
            <w:tcW w:w="530" w:type="dxa"/>
            <w:tcBorders/>
            <w:shd w:fill="FFFFFF" w:val="clear"/>
            <w:vAlign w:val="center"/>
          </w:tcPr>
          <w:p>
            <w:pPr>
              <w:pStyle w:val="TableContents"/>
              <w:bidi w:val="0"/>
              <w:spacing w:before="0" w:after="283"/>
              <w:jc w:val="center"/>
              <w:rPr/>
            </w:pPr>
            <w:r>
              <w:rPr/>
              <w:t>25</w:t>
            </w:r>
          </w:p>
        </w:tc>
      </w:tr>
      <w:tr>
        <w:trPr/>
        <w:tc>
          <w:tcPr>
            <w:tcW w:w="8165" w:type="dxa"/>
            <w:tcBorders/>
            <w:shd w:fill="CCEEFF" w:val="clear"/>
            <w:vAlign w:val="center"/>
          </w:tcPr>
          <w:p>
            <w:pPr>
              <w:pStyle w:val="TableContents"/>
              <w:bidi w:val="0"/>
              <w:spacing w:before="0" w:after="283"/>
              <w:jc w:val="left"/>
              <w:rPr/>
            </w:pPr>
            <w:hyperlink w:anchor="b_013">
              <w:r>
                <w:rPr>
                  <w:rStyle w:val="InternetLink"/>
                </w:rPr>
                <w:t>LEGAL MATTERS</w:t>
              </w:r>
            </w:hyperlink>
          </w:p>
        </w:tc>
        <w:tc>
          <w:tcPr>
            <w:tcW w:w="530" w:type="dxa"/>
            <w:tcBorders/>
            <w:shd w:fill="CCEEFF" w:val="clear"/>
            <w:vAlign w:val="center"/>
          </w:tcPr>
          <w:p>
            <w:pPr>
              <w:pStyle w:val="TableContents"/>
              <w:bidi w:val="0"/>
              <w:spacing w:before="0" w:after="283"/>
              <w:jc w:val="center"/>
              <w:rPr/>
            </w:pPr>
            <w:r>
              <w:rPr/>
              <w:t>27</w:t>
            </w:r>
          </w:p>
        </w:tc>
      </w:tr>
      <w:tr>
        <w:trPr/>
        <w:tc>
          <w:tcPr>
            <w:tcW w:w="8165" w:type="dxa"/>
            <w:tcBorders/>
            <w:shd w:fill="FFFFFF" w:val="clear"/>
            <w:vAlign w:val="center"/>
          </w:tcPr>
          <w:p>
            <w:pPr>
              <w:pStyle w:val="TableContents"/>
              <w:bidi w:val="0"/>
              <w:spacing w:before="0" w:after="283"/>
              <w:jc w:val="left"/>
              <w:rPr/>
            </w:pPr>
            <w:hyperlink w:anchor="b_014">
              <w:r>
                <w:rPr>
                  <w:rStyle w:val="InternetLink"/>
                </w:rPr>
                <w:t>EXPERTS</w:t>
              </w:r>
            </w:hyperlink>
          </w:p>
        </w:tc>
        <w:tc>
          <w:tcPr>
            <w:tcW w:w="530" w:type="dxa"/>
            <w:tcBorders/>
            <w:shd w:fill="FFFFFF" w:val="clear"/>
            <w:vAlign w:val="center"/>
          </w:tcPr>
          <w:p>
            <w:pPr>
              <w:pStyle w:val="TableContents"/>
              <w:bidi w:val="0"/>
              <w:spacing w:before="0" w:after="283"/>
              <w:jc w:val="center"/>
              <w:rPr/>
            </w:pPr>
            <w:r>
              <w:rPr/>
              <w:t>28</w:t>
            </w:r>
          </w:p>
        </w:tc>
      </w:tr>
      <w:tr>
        <w:trPr/>
        <w:tc>
          <w:tcPr>
            <w:tcW w:w="8165" w:type="dxa"/>
            <w:tcBorders/>
            <w:shd w:fill="CCEEFF" w:val="clear"/>
            <w:vAlign w:val="center"/>
          </w:tcPr>
          <w:p>
            <w:pPr>
              <w:pStyle w:val="TableContents"/>
              <w:bidi w:val="0"/>
              <w:spacing w:before="0" w:after="283"/>
              <w:jc w:val="left"/>
              <w:rPr/>
            </w:pPr>
            <w:hyperlink w:anchor="b_015">
              <w:r>
                <w:rPr>
                  <w:rStyle w:val="InternetLink"/>
                </w:rPr>
                <w:t>WHERE YOU CAN FIND MORE INFORMATION</w:t>
              </w:r>
            </w:hyperlink>
          </w:p>
        </w:tc>
        <w:tc>
          <w:tcPr>
            <w:tcW w:w="530" w:type="dxa"/>
            <w:tcBorders/>
            <w:shd w:fill="CCEEFF" w:val="clear"/>
            <w:vAlign w:val="center"/>
          </w:tcPr>
          <w:p>
            <w:pPr>
              <w:pStyle w:val="TableContents"/>
              <w:bidi w:val="0"/>
              <w:spacing w:before="0" w:after="283"/>
              <w:jc w:val="center"/>
              <w:rPr/>
            </w:pPr>
            <w:r>
              <w:rPr/>
              <w:t>29</w:t>
            </w:r>
          </w:p>
        </w:tc>
      </w:tr>
      <w:tr>
        <w:trPr/>
        <w:tc>
          <w:tcPr>
            <w:tcW w:w="8165" w:type="dxa"/>
            <w:tcBorders/>
            <w:shd w:fill="FFFFFF" w:val="clear"/>
            <w:vAlign w:val="center"/>
          </w:tcPr>
          <w:p>
            <w:pPr>
              <w:pStyle w:val="TableContents"/>
              <w:bidi w:val="0"/>
              <w:spacing w:before="0" w:after="283"/>
              <w:jc w:val="left"/>
              <w:rPr/>
            </w:pPr>
            <w:hyperlink w:anchor="b_016">
              <w:r>
                <w:rPr>
                  <w:rStyle w:val="InternetLink"/>
                </w:rPr>
                <w:t>INCORPORATION OF CERTAIN DOCUMENTS BY REFERENCE</w:t>
              </w:r>
            </w:hyperlink>
          </w:p>
        </w:tc>
        <w:tc>
          <w:tcPr>
            <w:tcW w:w="530" w:type="dxa"/>
            <w:tcBorders/>
            <w:shd w:fill="FFFFFF" w:val="clear"/>
            <w:vAlign w:val="center"/>
          </w:tcPr>
          <w:p>
            <w:pPr>
              <w:pStyle w:val="TableContents"/>
              <w:bidi w:val="0"/>
              <w:spacing w:before="0" w:after="283"/>
              <w:jc w:val="center"/>
              <w:rPr/>
            </w:pPr>
            <w:r>
              <w:rPr/>
              <w:t>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a_017"/>
      <w:bookmarkEnd w:id="2"/>
      <w:r>
        <w:rPr>
          <w:rFonts w:ascii="Times New Roman;Times;Serif" w:hAnsi="Times New Roman;Times;Serif"/>
          <w:b/>
          <w:i w:val="false"/>
          <w:caps/>
          <w:sz w:val="20"/>
        </w:rPr>
        <w:t>About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part of a registration statement on Form S-3 that we filed with the Securities and Exchange Commission (the “SEC”), using a “shelf” registration process. Under this prospectus supplement, we may offer shares of our common stock having an aggregate offering price of up to $150,000,000 from time to time at prices and on terms to be determined by market conditions at the time of offering. The $150,000,000 of shares of our common stock that may be sold under this prospectus supplement are included in the $300,000,000 of shares of our common stock that may be sold under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Agents have authorized any other party to provide you with different information other than the information contained in, or incorporated by reference into, this prospectus supplement, the accompanying base prospectus, or in any free writing prospectus prepared by or on behalf of us or to which we have referred you. Neither we nor the Agents take responsibility for, and neither we nor the Agents can provide assurance as to the reliability of, any other information that others may give you. If information in this prospectus supplement is inconsistent with the information in the accompanying base prospectus or the documents incorporated by reference in this prospectus supplement filed prior to the date of this prospectus supplement, you should rely on this prospectus supplement. However, if any statement in one of these documents is inconsistent with a statement in another document having a later date—for example, a document incorporated by reference in this prospectus supplement —the statement in the document having the later date modifies or supersedes the earlier statement as our business, financial condition, results of operations and prospects may have changed since the earlier 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purchasing any securities, you should carefully read both this prospectus supplement, the accompanying base prospectus and any free writing prospectus, together with the additional information described under the heading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You should assume that the information contained in this prospectus supplement, the accompanying base prospectus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This prospectus supplement, the accompanying base prospectus or any free writing prospectus do not constitute an offer to sell or the solicitation of an offer to buy any securities other than the registered securities to which they relate. Neither we nor the Agents are making offers to sell any securities described in this prospectus supplement in any jurisdiction in which an offer or solicitation is not authorized or in which the person making such offer or solicitation is not qualified to do so or to anyone to whom it is unlawful to make an offer or solicitation.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a_018"/>
      <w:bookmarkEnd w:id="3"/>
      <w:r>
        <w:rPr>
          <w:rFonts w:ascii="Times New Roman;Times;Serif" w:hAnsi="Times New Roman;Times;Serif"/>
          <w:b/>
          <w:i w:val="false"/>
          <w:caps/>
          <w:sz w:val="20"/>
        </w:rPr>
        <w:t>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supplement and the accompanying base prospectus are part of the registration statement on Form S-3 we filed with the SEC under the Securities Act and do not contain all the information set forth or incorporated by reference in the registration statement. Whenever a reference is made in this prospectus supplement or the accompanying base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base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website address is </w:t>
      </w:r>
      <w:r>
        <w:rPr>
          <w:rFonts w:ascii="Times New Roman;Times;Serif" w:hAnsi="Times New Roman;Times;Serif"/>
          <w:b w:val="false"/>
          <w:i/>
          <w:caps w:val="false"/>
          <w:smallCaps w:val="false"/>
          <w:sz w:val="20"/>
        </w:rPr>
        <w:t>www.serverobotics.com</w:t>
      </w:r>
      <w:r>
        <w:rPr>
          <w:rFonts w:ascii="Times New Roman;Times;Serif" w:hAnsi="Times New Roman;Times;Serif"/>
          <w:b w:val="false"/>
          <w:i w:val="false"/>
          <w:caps w:val="false"/>
          <w:smallCaps w:val="false"/>
          <w:sz w:val="20"/>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or any of our social media channels is not a part of, and is not incorporated into,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a_019"/>
      <w:bookmarkEnd w:id="4"/>
      <w:r>
        <w:rPr>
          <w:rFonts w:ascii="Times New Roman;Times;Serif" w:hAnsi="Times New Roman;Times;Serif"/>
          <w:b/>
          <w:i w:val="false"/>
          <w:caps/>
          <w:sz w:val="20"/>
        </w:rPr>
        <w:t>Incorporation of CERTAIN Documents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incorporates by reference important business and financial information about our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statement contained herein or in any document incorporated or deemed to be incorporated by reference herein shall be deemed to be modified or superseded for purposes of this prospectus supplement to the extent that a statement contained in or omitted from this prospectus supplement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Annual Report on Form 10-K for the fiscal year ended December 31, 2025 filed with the SEC on </w:t>
            </w:r>
            <w:hyperlink r:id="rId3">
              <w:r>
                <w:rPr>
                  <w:rStyle w:val="InternetLink"/>
                  <w:rFonts w:ascii="Times New Roman;Times;Serif" w:hAnsi="Times New Roman;Times;Serif"/>
                </w:rPr>
                <w:t>March 12, 2026</w:t>
              </w:r>
            </w:hyperlink>
            <w:r>
              <w:rPr>
                <w:rFonts w:ascii="Times New Roman;Times;Serif" w:hAnsi="Times New Roman;Times;Serif"/>
              </w:rPr>
              <w: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the information specifically incorporated by reference into our Annual Report on Form 10-K from our Definitive Proxy Statement on Schedule 14A, filed with the SEC on </w:t>
            </w:r>
            <w:hyperlink r:id="rId4">
              <w:r>
                <w:rPr>
                  <w:rStyle w:val="InternetLink"/>
                  <w:rFonts w:ascii="Times New Roman;Times;Serif" w:hAnsi="Times New Roman;Times;Serif"/>
                </w:rPr>
                <w:t>April 24, 2026;</w:t>
              </w:r>
            </w:hyperlink>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Quarterly Report on Form 10-Q for the quarter ended March 31, 2026 filed with the SEC on </w:t>
            </w:r>
            <w:hyperlink r:id="rId5">
              <w:r>
                <w:rPr>
                  <w:rStyle w:val="InternetLink"/>
                  <w:rFonts w:ascii="Times New Roman;Times;Serif" w:hAnsi="Times New Roman;Times;Serif"/>
                </w:rPr>
                <w:t>May 7, 2026</w:t>
              </w:r>
            </w:hyperlink>
            <w:r>
              <w:rPr>
                <w:rFonts w:ascii="Times New Roman;Times;Serif" w:hAnsi="Times New Roman;Times;Serif"/>
              </w:rPr>
              <w: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Current Reports on Form 8-K filed with the SEC on </w:t>
            </w:r>
            <w:hyperlink r:id="rId6">
              <w:r>
                <w:rPr>
                  <w:rStyle w:val="InternetLink"/>
                  <w:rFonts w:ascii="Times New Roman;Times;Serif" w:hAnsi="Times New Roman;Times;Serif"/>
                </w:rPr>
                <w:t>January 21, 2026</w:t>
              </w:r>
            </w:hyperlink>
            <w:r>
              <w:rPr>
                <w:rFonts w:ascii="Times New Roman;Times;Serif" w:hAnsi="Times New Roman;Times;Serif"/>
              </w:rPr>
              <w:t xml:space="preserve">, </w:t>
            </w:r>
            <w:hyperlink r:id="rId7">
              <w:r>
                <w:rPr>
                  <w:rStyle w:val="InternetLink"/>
                  <w:rFonts w:ascii="Times New Roman;Times;Serif" w:hAnsi="Times New Roman;Times;Serif"/>
                </w:rPr>
                <w:t>January 29, 2026</w:t>
              </w:r>
            </w:hyperlink>
            <w:r>
              <w:rPr>
                <w:rFonts w:ascii="Times New Roman;Times;Serif" w:hAnsi="Times New Roman;Times;Serif"/>
              </w:rPr>
              <w:t xml:space="preserve"> (as amended </w:t>
            </w:r>
            <w:hyperlink r:id="rId8">
              <w:r>
                <w:rPr>
                  <w:rStyle w:val="InternetLink"/>
                  <w:rFonts w:ascii="Times New Roman;Times;Serif" w:hAnsi="Times New Roman;Times;Serif"/>
                </w:rPr>
                <w:t>April 14, 2026</w:t>
              </w:r>
            </w:hyperlink>
            <w:r>
              <w:rPr>
                <w:rFonts w:ascii="Times New Roman;Times;Serif" w:hAnsi="Times New Roman;Times;Serif"/>
              </w:rPr>
              <w:t xml:space="preserve">), </w:t>
            </w:r>
            <w:hyperlink r:id="rId9">
              <w:r>
                <w:rPr>
                  <w:rStyle w:val="InternetLink"/>
                  <w:rFonts w:ascii="Times New Roman;Times;Serif" w:hAnsi="Times New Roman;Times;Serif"/>
                </w:rPr>
                <w:t>February 20, 2026</w:t>
              </w:r>
            </w:hyperlink>
            <w:r>
              <w:rPr>
                <w:rFonts w:ascii="Times New Roman;Times;Serif" w:hAnsi="Times New Roman;Times;Serif"/>
              </w:rPr>
              <w:t xml:space="preserve">, and </w:t>
            </w:r>
            <w:hyperlink r:id="rId10">
              <w:r>
                <w:rPr>
                  <w:rStyle w:val="InternetLink"/>
                  <w:rFonts w:ascii="Times New Roman;Times;Serif" w:hAnsi="Times New Roman;Times;Serif"/>
                </w:rPr>
                <w:t>May 11, 2026</w:t>
              </w:r>
            </w:hyperlink>
            <w:r>
              <w:rPr>
                <w:rFonts w:ascii="Times New Roman;Times;Serif" w:hAnsi="Times New Roman;Times;Serif"/>
              </w:rPr>
              <w:t xml:space="preserve"> (in each case, except for information contained therein which is furnished rather than filed);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the description of our common stock contained in </w:t>
            </w:r>
            <w:hyperlink r:id="rId11">
              <w:r>
                <w:rPr>
                  <w:rStyle w:val="InternetLink"/>
                  <w:rFonts w:ascii="Times New Roman;Times;Serif" w:hAnsi="Times New Roman;Times;Serif"/>
                </w:rPr>
                <w:t>Exhibit 4.8</w:t>
              </w:r>
            </w:hyperlink>
            <w:r>
              <w:rPr>
                <w:rFonts w:ascii="Times New Roman;Times;Serif" w:hAnsi="Times New Roman;Times;Serif"/>
              </w:rPr>
              <w:t xml:space="preserve"> to the Annual Report on </w:t>
            </w:r>
            <w:hyperlink r:id="rId12">
              <w:r>
                <w:rPr>
                  <w:rStyle w:val="InternetLink"/>
                  <w:rFonts w:ascii="Times New Roman;Times;Serif" w:hAnsi="Times New Roman;Times;Serif"/>
                </w:rPr>
                <w:t>Form 10-K</w:t>
              </w:r>
            </w:hyperlink>
            <w:r>
              <w:rPr>
                <w:rFonts w:ascii="Times New Roman;Times;Serif" w:hAnsi="Times New Roman;Times;Serif"/>
              </w:rPr>
              <w:t xml:space="preserve"> for the year ended December 31, 2023 filed with the SEC on February 29, 2024, and including any other amendments or reports filed for the purpose of updating such description.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supplement any further filings we make with the SEC under Sections 13(a), 13(c), 14 or 15(d) of the Exchange Act (other than portions of those made pursuant to Item 2.02 or Item 7.01 of Form 8-K or other information “furnished” and not filed with the SEC), including all filings filed after the date hereof and prior to the completion of an offering of securities under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filings with the SEC, including Annual Reports on Form 10-K, Quarterly Reports on Form 10-Q, Current Reports on Form 8-K and amendments to those reports, are available free of charge on our website at </w:t>
      </w:r>
      <w:r>
        <w:rPr>
          <w:rFonts w:ascii="Times New Roman;Times;Serif" w:hAnsi="Times New Roman;Times;Serif"/>
          <w:b w:val="false"/>
          <w:i/>
          <w:caps w:val="false"/>
          <w:smallCaps w:val="false"/>
          <w:sz w:val="20"/>
        </w:rPr>
        <w:t>investors.serverobotics.com</w:t>
      </w:r>
      <w:r>
        <w:rPr>
          <w:rFonts w:ascii="Times New Roman;Times;Serif" w:hAnsi="Times New Roman;Times;Serif"/>
          <w:b w:val="false"/>
          <w:i w:val="false"/>
          <w:caps w:val="false"/>
          <w:smallCaps w:val="false"/>
          <w:sz w:val="20"/>
        </w:rPr>
        <w:t xml:space="preserve"> as soon as reasonably practicable after they are filed with, or furnished to, the SEC. Information contained on, or that can be accessed through, our website is not a part of this prospectus supplement. Our social media channels and our website and the information contained on that site, or connected to that site, are not incorporated into and are not a part of this prospectus supplement.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br/>
        <w:t>730 Broadway</w:t>
        <w:br/>
        <w:t>Redwood City, California 94063</w:t>
        <w:br/>
        <w:t>Attn: Brian Read, Chief Financial Officer</w:t>
        <w:br/>
        <w:t>(818) 860-1352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5" w:name="a_020"/>
      <w:bookmarkEnd w:id="5"/>
      <w:r>
        <w:rPr>
          <w:rFonts w:ascii="Times New Roman;Times;Serif" w:hAnsi="Times New Roman;Times;Serif"/>
          <w:b/>
          <w:i w:val="false"/>
          <w:caps/>
          <w:sz w:val="20"/>
          <w:bdr w:val="single" w:sz="12" w:space="5" w:color="000000"/>
        </w:rPr>
        <w:t>Prospectus Summary</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or incorporated by reference, in this prospectus supplement. This summary does not contain all of the information that you should consider before deciding to invest in our common stock. For a more complete understanding of our company and this offering, you should carefully read and consider the more detailed information included or incorporated by reference in this prospectus supplement and the accompanying base prospectus, including the factors described under the heading “Risk Factors” on page S-4 of this prospectus supplement and the documents incorporated by reference in this prospectus supplement.</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All references to “Serve” refer to Serve Operating Co. (formerly known as Serve Robotics Inc.), a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material business activities and operations of Serve Robotics Inc.</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engaged in developing technologies intended to enable sustainable, autonomous robotic solutions for public and commercial spaces. Our activities include the design, engineering, deployment, and operation of low-emission robotic systems built on our proprietary AI-enabled mobility platform. Our systems are designed to operate safely and efficiently in real world environments. While food delivery remains our primary commercial application, we are expanding our platform into adjacent markets, customer segments, and operating environments where autonomous mobility can address labor constraints, improve service levels, and reduce emissions. We intend to leverage our core autonomy stack, fleet management infrastructure, and operational expertise to support additional use cases across both outdoor and indoor settings. Our core technology originated in 2017 as a specialized project within Postmates Inc. (“Postmates”), an on-demand food delivery company in the United States. Following the acquisition of Postmates by Uber Technologies, Inc. (“Uber”) in 2020, Uber’s leadership team approved the contribution of the intellectual property and related assets associated with this project to our company in February 2021.</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Serve’s fleet consisted of over 2,000 sidewalk delivery robots. We maintain platform-level integrations with food delivery platforms, such as Uber Eats and DoorDash, which means Serve robots can provide real-time presence and status updates on those platforms and receive requests to perform deliveries with respect to customer orders placed on those platforms as needed.</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Because Serve started within a food delivery company, our team comes with a depth of expertise in food delivery. Additionally, the engineering team has extensive experience in artificial intelligence, automation and robotics. Our leadership team includes veterans from Uber, Instacart,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Additional details of our programs are contained in our Annual Report on Form 10-K for the fiscal year ended December 31, 2025.</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Delaware corporation. Serve Operating Co. is our direct, wholly-owned subsidiary and holds all material assets and conducts all material business activities and operations of Serve Robotics Inc.</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principal executive offices are located at 730 Broadway, Redwood City, California 94063. Our telephone number is (818) 860-1352. Our website address is </w:t>
      </w:r>
      <w:r>
        <w:rPr>
          <w:rFonts w:ascii="Times New Roman;Times;Serif" w:hAnsi="Times New Roman;Times;Serif"/>
          <w:b w:val="false"/>
          <w:i/>
          <w:caps w:val="false"/>
          <w:smallCaps w:val="false"/>
          <w:sz w:val="20"/>
          <w:bdr w:val="single" w:sz="12" w:space="5" w:color="000000"/>
        </w:rPr>
        <w:t>www.serverobotics.com</w:t>
      </w:r>
      <w:r>
        <w:rPr>
          <w:rFonts w:ascii="Times New Roman;Times;Serif" w:hAnsi="Times New Roman;Times;Serif"/>
          <w:b w:val="false"/>
          <w:i w:val="false"/>
          <w:caps w:val="false"/>
          <w:smallCaps w:val="false"/>
          <w:sz w:val="20"/>
          <w:bdr w:val="single" w:sz="12" w:space="5" w:color="000000"/>
        </w:rPr>
        <w:t>. Information contained on, or that can be accessed through, our website is not a part of this prospectus supplement.</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own various U.S. federal trademark registrations and applications and unregistered trademarks, including our corporate logo. This prospectus supplement and the information incorporated herein by reference contains references to trademarks, service marks and trade names owned by us or other companies. Solely for convenience, trademarks, service marks and trade names referred to in this prospectus supplement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prospectus supplement, the accompanying base prospectus supplement or any related free writing prospectus are the property of their respective owners.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bdr w:val="single" w:sz="12" w:space="1" w:color="000000"/>
        </w:rPr>
      </w:pPr>
      <w:r>
        <w:rPr>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an Emerging Growth Company and a Smaller Reporting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an “emerging growth company” as defined in the Jumpstart Our Business Startups Act of 2012, as amended (the “JOBS Act”). An “emerging growth company” and “smaller reporting company” may take advantage of reduced reporting requirements that are otherwise applicable to public companies. These provisions include, but are not limited to:</w:t>
      </w:r>
    </w:p>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 supplement;</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 being required to comply with the auditor attestation requirements of Section 404 of the Sarbanes-Oxley Act, as amended (the “Sarbanes-Oxley Act”), on the effectiveness of our internal controls over financial reporting;</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reduced disclosure obligations regarding executive compensation arrangements in our periodic reports, proxy statements and registration statements, including this prospectus supplement; and</w:t>
            </w:r>
          </w:p>
        </w:tc>
      </w:tr>
    </w:tbl>
    <w:p>
      <w:pPr>
        <w:pStyle w:val="TextBody"/>
        <w:bidi w:val="0"/>
        <w:spacing w:before="0" w:after="0"/>
        <w:ind w:left="720" w:right="0" w:hanging="36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exemptions from the requirements of holding a nonbinding advisory vote on executive compensation and stockholder approval of any golden parachute payments not previously approved.</w:t>
            </w:r>
          </w:p>
        </w:tc>
      </w:tr>
    </w:tbl>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use these provisions until December 31, 2028, which is the last day of the fiscal year following the fifth anniversary of the first sale of our common stock pursuant to an effective registration statement in 2023.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elected to take advantage of certain of the reduced disclosure obligations in the registration statement of which this prospectus supplement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also a “smaller reporting company,” which generally means that (i) the market value of our common stock held by non-affiliates (“public float”) is less than $250 million, or (ii) our annual revenue is less than $100 million during the most recently completed fiscal year and our public float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bdr w:val="single" w:sz="12" w:space="1" w:color="000000"/>
        </w:rPr>
      </w:pPr>
      <w:r>
        <w:rPr>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jc w:val="center"/>
        <w:rPr>
          <w:rFonts w:ascii="Times New Roman;Times;Serif" w:hAnsi="Times New Roman;Times;Serif"/>
          <w:b/>
          <w:i w:val="false"/>
          <w:caps/>
          <w:sz w:val="20"/>
          <w:bdr w:val="single" w:sz="12" w:space="5" w:color="000000"/>
        </w:rPr>
      </w:pPr>
      <w:bookmarkStart w:id="6" w:name="a_021"/>
      <w:bookmarkEnd w:id="6"/>
      <w:r>
        <w:rPr>
          <w:rFonts w:ascii="Times New Roman;Times;Serif" w:hAnsi="Times New Roman;Times;Serif"/>
          <w:b/>
          <w:i w:val="false"/>
          <w:caps/>
          <w:sz w:val="20"/>
          <w:bdr w:val="single" w:sz="12" w:space="5" w:color="000000"/>
        </w:rPr>
        <w:t>The Offering</w:t>
      </w:r>
    </w:p>
    <w:p>
      <w:pPr>
        <w:pStyle w:val="TextBody"/>
        <w:bidi w:val="0"/>
        <w:spacing w:before="0" w:after="0"/>
        <w:ind w:left="0" w:right="0" w:hanging="0"/>
        <w:jc w:val="center"/>
        <w:rPr>
          <w:caps/>
          <w:bdr w:val="single" w:sz="12" w:space="5" w:color="000000"/>
        </w:rPr>
      </w:pPr>
      <w:r>
        <w:rPr>
          <w:caps/>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63"/>
        <w:gridCol w:w="8342"/>
      </w:tblGrid>
      <w:tr>
        <w:trPr/>
        <w:tc>
          <w:tcPr>
            <w:tcW w:w="186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Us</w:t>
            </w:r>
          </w:p>
        </w:tc>
        <w:tc>
          <w:tcPr>
            <w:tcW w:w="8342" w:type="dxa"/>
            <w:tcBorders/>
            <w:vAlign w:val="center"/>
          </w:tcPr>
          <w:p>
            <w:pPr>
              <w:pStyle w:val="TableContents"/>
              <w:bidi w:val="0"/>
              <w:spacing w:before="0" w:after="283"/>
              <w:ind w:left="0" w:right="0" w:hanging="180"/>
              <w:jc w:val="left"/>
              <w:rPr/>
            </w:pPr>
            <w:r>
              <w:rPr/>
              <w:t>Common stock having an aggregate gross sales price of $150,000,000.</w:t>
            </w:r>
          </w:p>
        </w:tc>
      </w:tr>
      <w:tr>
        <w:trPr/>
        <w:tc>
          <w:tcPr>
            <w:tcW w:w="1863" w:type="dxa"/>
            <w:tcBorders/>
            <w:vAlign w:val="center"/>
          </w:tcPr>
          <w:p>
            <w:pPr>
              <w:pStyle w:val="TableContents"/>
              <w:bidi w:val="0"/>
              <w:spacing w:before="0" w:after="283"/>
              <w:ind w:left="0" w:right="0" w:hanging="0"/>
              <w:jc w:val="left"/>
              <w:rPr/>
            </w:pPr>
            <w:r>
              <w:rPr/>
              <w:t> </w:t>
            </w:r>
          </w:p>
        </w:tc>
        <w:tc>
          <w:tcPr>
            <w:tcW w:w="8342" w:type="dxa"/>
            <w:tcBorders/>
            <w:vAlign w:val="center"/>
          </w:tcPr>
          <w:p>
            <w:pPr>
              <w:pStyle w:val="TableContents"/>
              <w:bidi w:val="0"/>
              <w:spacing w:before="0" w:after="283"/>
              <w:ind w:left="0" w:right="0" w:hanging="180"/>
              <w:jc w:val="left"/>
              <w:rPr/>
            </w:pPr>
            <w:r>
              <w:rPr/>
              <w:t> </w:t>
            </w:r>
          </w:p>
        </w:tc>
      </w:tr>
      <w:tr>
        <w:trPr/>
        <w:tc>
          <w:tcPr>
            <w:tcW w:w="1863" w:type="dxa"/>
            <w:tcBorders/>
            <w:vAlign w:val="center"/>
          </w:tcPr>
          <w:p>
            <w:pPr>
              <w:pStyle w:val="TableContents"/>
              <w:bidi w:val="0"/>
              <w:spacing w:before="0" w:after="283"/>
              <w:ind w:left="0" w:right="0" w:hanging="0"/>
              <w:jc w:val="left"/>
              <w:rPr/>
            </w:pPr>
            <w:r>
              <w:rPr/>
              <w:t>Manner of Offering</w:t>
            </w:r>
          </w:p>
        </w:tc>
        <w:tc>
          <w:tcPr>
            <w:tcW w:w="8342" w:type="dxa"/>
            <w:tcBorders/>
            <w:vAlign w:val="center"/>
          </w:tcPr>
          <w:p>
            <w:pPr>
              <w:pStyle w:val="TableContents"/>
              <w:bidi w:val="0"/>
              <w:spacing w:before="0" w:after="283"/>
              <w:ind w:left="0" w:right="0" w:hanging="180"/>
              <w:jc w:val="left"/>
              <w:rPr/>
            </w:pPr>
            <w:r>
              <w:rPr/>
              <w:t>Sales of shares of our common stock under this prospectus supplement may be made by any method deemed to be an “at the market offering” as defined in Rule 415(a)(4) under the Securities Act, including by means of ordinary brokers’ transactions on Nasdaq at market prices or otherwise at prices related to prevailing market prices or at negotiated prices, by privately negotiated transactions (including block sales) or by any other methods permitted by applicable law. See “</w:t>
            </w:r>
            <w:r>
              <w:rPr>
                <w:i/>
              </w:rPr>
              <w:t>Plan of Distribution</w:t>
            </w:r>
            <w:r>
              <w:rPr/>
              <w:t>.”</w:t>
            </w:r>
          </w:p>
        </w:tc>
      </w:tr>
      <w:tr>
        <w:trPr/>
        <w:tc>
          <w:tcPr>
            <w:tcW w:w="1863" w:type="dxa"/>
            <w:tcBorders/>
            <w:vAlign w:val="center"/>
          </w:tcPr>
          <w:p>
            <w:pPr>
              <w:pStyle w:val="TableContents"/>
              <w:bidi w:val="0"/>
              <w:spacing w:before="0" w:after="283"/>
              <w:ind w:left="0" w:right="0" w:hanging="0"/>
              <w:jc w:val="left"/>
              <w:rPr/>
            </w:pPr>
            <w:r>
              <w:rPr/>
              <w:t> </w:t>
            </w:r>
          </w:p>
        </w:tc>
        <w:tc>
          <w:tcPr>
            <w:tcW w:w="8342" w:type="dxa"/>
            <w:tcBorders/>
            <w:vAlign w:val="center"/>
          </w:tcPr>
          <w:p>
            <w:pPr>
              <w:pStyle w:val="TableContents"/>
              <w:bidi w:val="0"/>
              <w:spacing w:before="0" w:after="283"/>
              <w:ind w:left="0" w:right="0" w:hanging="180"/>
              <w:jc w:val="left"/>
              <w:rPr/>
            </w:pPr>
            <w:r>
              <w:rPr/>
              <w:t> </w:t>
            </w:r>
          </w:p>
        </w:tc>
      </w:tr>
      <w:tr>
        <w:trPr/>
        <w:tc>
          <w:tcPr>
            <w:tcW w:w="1863" w:type="dxa"/>
            <w:tcBorders/>
            <w:vAlign w:val="center"/>
          </w:tcPr>
          <w:p>
            <w:pPr>
              <w:pStyle w:val="TableContents"/>
              <w:bidi w:val="0"/>
              <w:spacing w:before="0" w:after="283"/>
              <w:ind w:left="0" w:right="0" w:hanging="0"/>
              <w:jc w:val="left"/>
              <w:rPr/>
            </w:pPr>
            <w:r>
              <w:rPr/>
              <w:t>Shares of Common Stock Outstanding Prior to this Offering</w:t>
            </w:r>
          </w:p>
        </w:tc>
        <w:tc>
          <w:tcPr>
            <w:tcW w:w="8342" w:type="dxa"/>
            <w:tcBorders/>
            <w:vAlign w:val="center"/>
          </w:tcPr>
          <w:p>
            <w:pPr>
              <w:pStyle w:val="TableContents"/>
              <w:bidi w:val="0"/>
              <w:spacing w:before="0" w:after="283"/>
              <w:ind w:left="0" w:right="0" w:hanging="180"/>
              <w:jc w:val="left"/>
              <w:rPr/>
            </w:pPr>
            <w:r>
              <w:rPr/>
              <w:t>76,057,229 shares of our common stock (as of March 31, 2026).</w:t>
            </w:r>
          </w:p>
        </w:tc>
      </w:tr>
      <w:tr>
        <w:trPr/>
        <w:tc>
          <w:tcPr>
            <w:tcW w:w="1863" w:type="dxa"/>
            <w:tcBorders/>
            <w:vAlign w:val="center"/>
          </w:tcPr>
          <w:p>
            <w:pPr>
              <w:pStyle w:val="TableContents"/>
              <w:bidi w:val="0"/>
              <w:spacing w:before="0" w:after="283"/>
              <w:ind w:left="0" w:right="0" w:hanging="0"/>
              <w:jc w:val="left"/>
              <w:rPr/>
            </w:pPr>
            <w:r>
              <w:rPr/>
              <w:t> </w:t>
            </w:r>
          </w:p>
        </w:tc>
        <w:tc>
          <w:tcPr>
            <w:tcW w:w="8342" w:type="dxa"/>
            <w:tcBorders/>
            <w:vAlign w:val="center"/>
          </w:tcPr>
          <w:p>
            <w:pPr>
              <w:pStyle w:val="TableContents"/>
              <w:bidi w:val="0"/>
              <w:spacing w:before="0" w:after="283"/>
              <w:ind w:left="0" w:right="0" w:hanging="180"/>
              <w:jc w:val="left"/>
              <w:rPr/>
            </w:pPr>
            <w:r>
              <w:rPr/>
              <w:t> </w:t>
            </w:r>
          </w:p>
        </w:tc>
      </w:tr>
      <w:tr>
        <w:trPr/>
        <w:tc>
          <w:tcPr>
            <w:tcW w:w="1863" w:type="dxa"/>
            <w:tcBorders/>
            <w:vAlign w:val="center"/>
          </w:tcPr>
          <w:p>
            <w:pPr>
              <w:pStyle w:val="TableContents"/>
              <w:bidi w:val="0"/>
              <w:spacing w:before="0" w:after="283"/>
              <w:ind w:left="0" w:right="0" w:hanging="0"/>
              <w:jc w:val="left"/>
              <w:rPr/>
            </w:pPr>
            <w:r>
              <w:rPr/>
              <w:t>Shares of Common Stock Outstanding After this Offering</w:t>
            </w:r>
          </w:p>
        </w:tc>
        <w:tc>
          <w:tcPr>
            <w:tcW w:w="8342" w:type="dxa"/>
            <w:tcBorders/>
            <w:vAlign w:val="center"/>
          </w:tcPr>
          <w:p>
            <w:pPr>
              <w:pStyle w:val="TableContents"/>
              <w:bidi w:val="0"/>
              <w:spacing w:before="0" w:after="283"/>
              <w:ind w:left="0" w:right="0" w:hanging="180"/>
              <w:jc w:val="left"/>
              <w:rPr/>
            </w:pPr>
            <w:r>
              <w:rPr/>
              <w:t>93,438,457 shares of our common stock, assuming the sale of 17,381,228 shares of our common stock in this offering at an offering price of $8.63 per share, which was the last reported sale price of our common stock on Nasdaq on May 13, 2026. The actual number of shares of our common stock issued will vary depending on the sale price under this offering.</w:t>
            </w:r>
          </w:p>
        </w:tc>
      </w:tr>
      <w:tr>
        <w:trPr/>
        <w:tc>
          <w:tcPr>
            <w:tcW w:w="1863" w:type="dxa"/>
            <w:tcBorders/>
            <w:vAlign w:val="center"/>
          </w:tcPr>
          <w:p>
            <w:pPr>
              <w:pStyle w:val="TableContents"/>
              <w:bidi w:val="0"/>
              <w:spacing w:before="0" w:after="283"/>
              <w:ind w:left="0" w:right="0" w:hanging="0"/>
              <w:jc w:val="left"/>
              <w:rPr/>
            </w:pPr>
            <w:r>
              <w:rPr/>
              <w:t> </w:t>
            </w:r>
          </w:p>
        </w:tc>
        <w:tc>
          <w:tcPr>
            <w:tcW w:w="8342" w:type="dxa"/>
            <w:tcBorders/>
            <w:vAlign w:val="center"/>
          </w:tcPr>
          <w:p>
            <w:pPr>
              <w:pStyle w:val="TableContents"/>
              <w:bidi w:val="0"/>
              <w:spacing w:before="0" w:after="283"/>
              <w:ind w:left="0" w:right="0" w:hanging="180"/>
              <w:jc w:val="left"/>
              <w:rPr/>
            </w:pPr>
            <w:r>
              <w:rPr/>
              <w:t> </w:t>
            </w:r>
          </w:p>
        </w:tc>
      </w:tr>
      <w:tr>
        <w:trPr/>
        <w:tc>
          <w:tcPr>
            <w:tcW w:w="1863" w:type="dxa"/>
            <w:tcBorders/>
            <w:vAlign w:val="center"/>
          </w:tcPr>
          <w:p>
            <w:pPr>
              <w:pStyle w:val="TableContents"/>
              <w:bidi w:val="0"/>
              <w:spacing w:before="0" w:after="283"/>
              <w:ind w:left="0" w:right="0" w:hanging="0"/>
              <w:jc w:val="left"/>
              <w:rPr/>
            </w:pPr>
            <w:r>
              <w:rPr/>
              <w:t>Use of Proceeds</w:t>
            </w:r>
          </w:p>
        </w:tc>
        <w:tc>
          <w:tcPr>
            <w:tcW w:w="8342" w:type="dxa"/>
            <w:tcBorders/>
            <w:vAlign w:val="center"/>
          </w:tcPr>
          <w:p>
            <w:pPr>
              <w:pStyle w:val="TableContents"/>
              <w:bidi w:val="0"/>
              <w:spacing w:before="0" w:after="283"/>
              <w:ind w:left="0" w:right="0" w:hanging="180"/>
              <w:jc w:val="left"/>
              <w:rPr/>
            </w:pPr>
            <w:r>
              <w:rPr/>
              <w:t>We currently intend to use the net proceeds from the sale of shares of our common stock for working capital and other general corporate purposes. Our management will retain broad discretion over the allocation of the net proceeds from the sale of the shares of our common stock offered by this prospectus supplement. See “</w:t>
            </w:r>
            <w:r>
              <w:rPr>
                <w:i/>
              </w:rPr>
              <w:t>Use of Proceeds</w:t>
            </w:r>
            <w:r>
              <w:rPr/>
              <w:t>.”</w:t>
            </w:r>
          </w:p>
        </w:tc>
      </w:tr>
      <w:tr>
        <w:trPr/>
        <w:tc>
          <w:tcPr>
            <w:tcW w:w="1863" w:type="dxa"/>
            <w:tcBorders/>
            <w:vAlign w:val="center"/>
          </w:tcPr>
          <w:p>
            <w:pPr>
              <w:pStyle w:val="TableContents"/>
              <w:bidi w:val="0"/>
              <w:spacing w:before="0" w:after="283"/>
              <w:ind w:left="0" w:right="0" w:hanging="0"/>
              <w:jc w:val="left"/>
              <w:rPr/>
            </w:pPr>
            <w:r>
              <w:rPr/>
              <w:t> </w:t>
            </w:r>
          </w:p>
        </w:tc>
        <w:tc>
          <w:tcPr>
            <w:tcW w:w="8342" w:type="dxa"/>
            <w:tcBorders/>
            <w:vAlign w:val="center"/>
          </w:tcPr>
          <w:p>
            <w:pPr>
              <w:pStyle w:val="TableContents"/>
              <w:bidi w:val="0"/>
              <w:spacing w:before="0" w:after="283"/>
              <w:ind w:left="0" w:right="0" w:hanging="180"/>
              <w:jc w:val="left"/>
              <w:rPr/>
            </w:pPr>
            <w:r>
              <w:rPr/>
              <w:t> </w:t>
            </w:r>
          </w:p>
        </w:tc>
      </w:tr>
      <w:tr>
        <w:trPr/>
        <w:tc>
          <w:tcPr>
            <w:tcW w:w="1863" w:type="dxa"/>
            <w:tcBorders/>
            <w:vAlign w:val="center"/>
          </w:tcPr>
          <w:p>
            <w:pPr>
              <w:pStyle w:val="TableContents"/>
              <w:bidi w:val="0"/>
              <w:spacing w:before="0" w:after="283"/>
              <w:ind w:left="0" w:right="0" w:hanging="0"/>
              <w:jc w:val="left"/>
              <w:rPr/>
            </w:pPr>
            <w:r>
              <w:rPr/>
              <w:t>Risk Factors</w:t>
            </w:r>
          </w:p>
        </w:tc>
        <w:tc>
          <w:tcPr>
            <w:tcW w:w="8342" w:type="dxa"/>
            <w:tcBorders/>
            <w:vAlign w:val="center"/>
          </w:tcPr>
          <w:p>
            <w:pPr>
              <w:pStyle w:val="TableContents"/>
              <w:bidi w:val="0"/>
              <w:spacing w:before="0" w:after="283"/>
              <w:ind w:left="0" w:right="0" w:hanging="180"/>
              <w:jc w:val="left"/>
              <w:rPr/>
            </w:pPr>
            <w:r>
              <w:rPr/>
              <w:t>See the section titled “</w:t>
            </w:r>
            <w:r>
              <w:rPr>
                <w:i/>
              </w:rPr>
              <w:t>Risk Factors</w:t>
            </w:r>
            <w:r>
              <w:rPr/>
              <w:t>” in this prospectus supplement and the accompanying base prospectus and in the documents incorporated herein by reference for a discussion of certain factors you should carefully consider before deciding to invest in shares of our common stock.</w:t>
            </w:r>
          </w:p>
        </w:tc>
      </w:tr>
      <w:tr>
        <w:trPr/>
        <w:tc>
          <w:tcPr>
            <w:tcW w:w="1863" w:type="dxa"/>
            <w:tcBorders/>
            <w:vAlign w:val="center"/>
          </w:tcPr>
          <w:p>
            <w:pPr>
              <w:pStyle w:val="TableContents"/>
              <w:bidi w:val="0"/>
              <w:spacing w:before="0" w:after="283"/>
              <w:ind w:left="0" w:right="0" w:hanging="0"/>
              <w:jc w:val="left"/>
              <w:rPr/>
            </w:pPr>
            <w:r>
              <w:rPr/>
              <w:t> </w:t>
            </w:r>
          </w:p>
        </w:tc>
        <w:tc>
          <w:tcPr>
            <w:tcW w:w="8342" w:type="dxa"/>
            <w:tcBorders/>
            <w:vAlign w:val="center"/>
          </w:tcPr>
          <w:p>
            <w:pPr>
              <w:pStyle w:val="TableContents"/>
              <w:bidi w:val="0"/>
              <w:spacing w:before="0" w:after="283"/>
              <w:ind w:left="0" w:right="0" w:hanging="180"/>
              <w:jc w:val="left"/>
              <w:rPr/>
            </w:pPr>
            <w:r>
              <w:rPr/>
              <w:t> </w:t>
            </w:r>
          </w:p>
        </w:tc>
      </w:tr>
      <w:tr>
        <w:trPr/>
        <w:tc>
          <w:tcPr>
            <w:tcW w:w="1863" w:type="dxa"/>
            <w:tcBorders/>
            <w:vAlign w:val="center"/>
          </w:tcPr>
          <w:p>
            <w:pPr>
              <w:pStyle w:val="TableContents"/>
              <w:bidi w:val="0"/>
              <w:spacing w:before="0" w:after="283"/>
              <w:ind w:left="0" w:right="0" w:hanging="0"/>
              <w:jc w:val="left"/>
              <w:rPr/>
            </w:pPr>
            <w:r>
              <w:rPr/>
              <w:t>Nasdaq symbol</w:t>
            </w:r>
          </w:p>
        </w:tc>
        <w:tc>
          <w:tcPr>
            <w:tcW w:w="8342" w:type="dxa"/>
            <w:tcBorders/>
            <w:vAlign w:val="center"/>
          </w:tcPr>
          <w:p>
            <w:pPr>
              <w:pStyle w:val="TableContents"/>
              <w:bidi w:val="0"/>
              <w:spacing w:before="0" w:after="283"/>
              <w:jc w:val="left"/>
              <w:rPr/>
            </w:pPr>
            <w:r>
              <w:rPr/>
              <w:t>“</w:t>
            </w:r>
            <w:r>
              <w:rPr/>
              <w:t>SERV”</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shares of our common stock expected to be outstanding immediately after this offering is based on 76,057,229 shares of our common stock outstanding as of March 31, 2026, and excludes:</w:t>
      </w:r>
    </w:p>
    <w:p>
      <w:pPr>
        <w:pStyle w:val="TextBody"/>
        <w:bidi w:val="0"/>
        <w:spacing w:before="0" w:after="0"/>
        <w:ind w:left="1440" w:right="0" w:hanging="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743,872 shares of our common stock issuable upon the exercise of options outstanding as of March 31, 2026, at a weighted average exercise price of $0.91 per share under our 2021 Stock Plan (our “2021 Stock Plan”), 2023 Equity Incentive Plan (our “2023 Equity Incentive Plan”), and Vayu Robotics Inc. 2022 Equity Incentive Plan (the “2022 Vayu Plan”);</w:t>
            </w:r>
          </w:p>
        </w:tc>
      </w:tr>
    </w:tbl>
    <w:p>
      <w:pPr>
        <w:pStyle w:val="TextBody"/>
        <w:bidi w:val="0"/>
        <w:spacing w:before="0" w:after="0"/>
        <w:ind w:left="1440" w:right="0" w:hanging="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9,461,039 shares of our common stock issuable upon the vesting of restricted stock units outstanding as of March 31, 2026 under our 2021 Stock Plan, 2023 Equity Incentive Plan, 2022 Vayu Plan, and Vayu 2025 Equity Incentive Plan (the “2025 Vayu Plan”);</w:t>
            </w:r>
          </w:p>
        </w:tc>
      </w:tr>
    </w:tbl>
    <w:p>
      <w:pPr>
        <w:pStyle w:val="TextBody"/>
        <w:bidi w:val="0"/>
        <w:spacing w:before="0" w:after="0"/>
        <w:ind w:left="1440" w:right="0" w:hanging="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5,079,294 shares of our common stock issuable upon the exercise of warrants outstanding as of March 31, 2026 at a weighted average exercise price of $10.18 per share;</w:t>
            </w:r>
          </w:p>
        </w:tc>
      </w:tr>
    </w:tbl>
    <w:p>
      <w:pPr>
        <w:pStyle w:val="TextBody"/>
        <w:bidi w:val="0"/>
        <w:spacing w:before="0" w:after="0"/>
        <w:ind w:left="1440" w:right="0" w:hanging="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2,163,338 shares of our common stock reserved for issuance as of March 31, 2026 under our 2021 Stock Plan, 2023 Equity Incentive Plan, 2022 Vayu Plan, and 2025 Vayu Plan; and</w:t>
            </w:r>
          </w:p>
        </w:tc>
      </w:tr>
    </w:tbl>
    <w:p>
      <w:pPr>
        <w:pStyle w:val="TextBody"/>
        <w:bidi w:val="0"/>
        <w:spacing w:before="0" w:after="0"/>
        <w:ind w:left="1440" w:right="0" w:hanging="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1,027,000 shares of our common stock issued in transactions consummated on April 1, 2026 pursuant to our Controlled Equity Offering</w:t>
            </w:r>
            <w:r>
              <w:rPr>
                <w:rFonts w:ascii="Times New Roman;Times;Serif" w:hAnsi="Times New Roman;Times;Serif"/>
                <w:position w:val="8"/>
                <w:sz w:val="19"/>
              </w:rPr>
              <w:t xml:space="preserve">SM </w:t>
            </w:r>
            <w:r>
              <w:rPr>
                <w:rFonts w:ascii="Times New Roman;Times;Serif" w:hAnsi="Times New Roman;Times;Serif"/>
              </w:rPr>
              <w:t>Agreement, dated as of March 6, 2025, at a weighted average price of $8.22 per share. The Controlled Equity Offering</w:t>
            </w:r>
            <w:r>
              <w:rPr>
                <w:rFonts w:ascii="Times New Roman;Times;Serif" w:hAnsi="Times New Roman;Times;Serif"/>
                <w:position w:val="8"/>
                <w:sz w:val="19"/>
              </w:rPr>
              <w:t>SM</w:t>
            </w:r>
            <w:r>
              <w:rPr>
                <w:rFonts w:ascii="Times New Roman;Times;Serif" w:hAnsi="Times New Roman;Times;Serif"/>
              </w:rPr>
              <w:t xml:space="preserve"> Agreement was terminated effective May 7, 2026.</w:t>
            </w:r>
          </w:p>
        </w:tc>
      </w:tr>
    </w:tbl>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Except as otherwise indicated, all information in this prospectus supplement assumes no exercise of the outstanding securities described above.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bdr w:val="single" w:sz="12" w:space="1" w:color="000000"/>
        </w:rPr>
      </w:pPr>
      <w:r>
        <w:rPr>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a_022"/>
      <w:bookmarkEnd w:id="7"/>
      <w:r>
        <w:rPr>
          <w:rFonts w:ascii="Times New Roman;Times;Serif" w:hAnsi="Times New Roman;Times;Serif"/>
          <w:b/>
          <w:i w:val="false"/>
          <w:caps/>
          <w:sz w:val="20"/>
        </w:rPr>
        <w:t>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below under “Cautionary Note Regarding Forward-Looking Statements,” you should carefully consider the specific risks incorporated by reference in this prospectus supplement from our most recent Annual Report on Form 10-K and any subsequent Quarterly Reports on Form 10-Q or Current Reports on Form 8-K, and all other information contained or incorporated by reference into this prospectus supplement, as updated by our subsequent filings under the Exchange Act, and the risk factors and other information contained in any applicable prospectus supplement and any applicable free writing prospectus before acquiring any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incorporated by reference in this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 and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may be volatile, and you may be unable to sell your shares at or above the offering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likely to be volatile and could be subject to wide fluctuations in response to many risk factors listed in this section, and others beyond our control, including:</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actual or anticipated fluctuations in our financial condition and operating results, including fluctuations in our quarterly and annual results;</w:t>
            </w:r>
          </w:p>
        </w:tc>
      </w:tr>
    </w:tbl>
    <w:p>
      <w:pPr>
        <w:pStyle w:val="TextBody"/>
        <w:bidi w:val="0"/>
        <w:spacing w:before="0" w:after="0"/>
        <w:ind w:left="1440" w:right="0" w:hanging="72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maintain the listing of our common stock on Nasdaq;</w:t>
            </w:r>
          </w:p>
        </w:tc>
      </w:tr>
    </w:tbl>
    <w:p>
      <w:pPr>
        <w:pStyle w:val="TextBody"/>
        <w:bidi w:val="0"/>
        <w:spacing w:before="0" w:after="0"/>
        <w:ind w:left="1440" w:right="0" w:hanging="72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grow and manage growth profitably;</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enter into binding contracts with original equipment manufacturers, tier-one suppliers, healthcare systems and other strategic partners in order to execute on our business plan;</w:t>
            </w:r>
          </w:p>
        </w:tc>
      </w:tr>
    </w:tbl>
    <w:p>
      <w:pPr>
        <w:pStyle w:val="TextBody"/>
        <w:bidi w:val="0"/>
        <w:spacing w:before="0" w:after="0"/>
        <w:ind w:left="1440" w:right="0" w:hanging="720"/>
        <w:jc w:val="left"/>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expansion plans and opportunities;</w:t>
            </w:r>
          </w:p>
        </w:tc>
      </w:tr>
    </w:tbl>
    <w:p>
      <w:pPr>
        <w:pStyle w:val="TextBody"/>
        <w:bidi w:val="0"/>
        <w:spacing w:before="0" w:after="0"/>
        <w:ind w:left="1440" w:right="0" w:hanging="72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expectations regarding future expenditures;</w:t>
            </w:r>
          </w:p>
        </w:tc>
      </w:tr>
    </w:tbl>
    <w:p>
      <w:pPr>
        <w:pStyle w:val="TextBody"/>
        <w:bidi w:val="0"/>
        <w:spacing w:before="0" w:after="0"/>
        <w:ind w:left="1440" w:right="0" w:hanging="72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announcements of technological innovations by us or our competitors;</w:t>
            </w:r>
          </w:p>
        </w:tc>
      </w:tr>
    </w:tbl>
    <w:p>
      <w:pPr>
        <w:pStyle w:val="TextBody"/>
        <w:bidi w:val="0"/>
        <w:spacing w:before="0" w:after="0"/>
        <w:ind w:left="1440" w:right="0" w:hanging="720"/>
        <w:jc w:val="left"/>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overall conditions in our industry and the markets in which we operate;</w:t>
            </w:r>
          </w:p>
        </w:tc>
      </w:tr>
    </w:tbl>
    <w:p>
      <w:pPr>
        <w:pStyle w:val="TextBody"/>
        <w:bidi w:val="0"/>
        <w:spacing w:before="0" w:after="0"/>
        <w:ind w:left="1440" w:right="0" w:hanging="720"/>
        <w:jc w:val="left"/>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 or loss of significant customers, or other developments with respect to significant customers;</w:t>
            </w:r>
          </w:p>
        </w:tc>
      </w:tr>
    </w:tbl>
    <w:p>
      <w:pPr>
        <w:pStyle w:val="TextBody"/>
        <w:bidi w:val="0"/>
        <w:spacing w:before="0" w:after="0"/>
        <w:ind w:left="1440" w:right="0" w:hanging="72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laws or regulations applicable to our services;</w:t>
            </w:r>
          </w:p>
        </w:tc>
      </w:tr>
    </w:tbl>
    <w:p>
      <w:pPr>
        <w:pStyle w:val="TextBody"/>
        <w:bidi w:val="0"/>
        <w:spacing w:before="0" w:after="0"/>
        <w:ind w:left="1440" w:right="0" w:hanging="720"/>
        <w:jc w:val="left"/>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actual or anticipated changes in our growth rate relative to our competitors;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announcements by us or our competitors of significant acquisitions, strategic partnerships, joint ventures or capital commitments;</w:t>
            </w:r>
          </w:p>
        </w:tc>
      </w:tr>
    </w:tbl>
    <w:p>
      <w:pPr>
        <w:pStyle w:val="TextBody"/>
        <w:bidi w:val="0"/>
        <w:spacing w:before="0" w:after="0"/>
        <w:ind w:left="1440" w:right="0" w:hanging="72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or departures of key personnel;</w:t>
            </w:r>
          </w:p>
        </w:tc>
      </w:tr>
    </w:tbl>
    <w:p>
      <w:pPr>
        <w:pStyle w:val="TextBody"/>
        <w:bidi w:val="0"/>
        <w:spacing w:before="0" w:after="0"/>
        <w:ind w:left="1440" w:right="0" w:hanging="72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competition from existing products or new products that may emerge;</w:t>
            </w:r>
          </w:p>
        </w:tc>
      </w:tr>
    </w:tbl>
    <w:p>
      <w:pPr>
        <w:pStyle w:val="TextBody"/>
        <w:bidi w:val="0"/>
        <w:spacing w:before="0" w:after="0"/>
        <w:ind w:left="1440" w:right="0" w:hanging="72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new or updated research or reports by securities analysts;</w:t>
            </w:r>
          </w:p>
        </w:tc>
      </w:tr>
    </w:tbl>
    <w:p>
      <w:pPr>
        <w:pStyle w:val="TextBody"/>
        <w:bidi w:val="0"/>
        <w:spacing w:before="0" w:after="0"/>
        <w:ind w:left="1440" w:right="0" w:hanging="72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fluctuations in the valuation of companies perceived by investors to be comparable to us;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disputes or other developments related to proprietary rights, including patents, litigation matters, and our ability to obtain intellectual property protection for our technologies;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720"/>
        <w:jc w:val="center"/>
        <w:rPr>
          <w:bdr w:val="single" w:sz="12" w:space="1" w:color="000000"/>
        </w:rPr>
      </w:pPr>
      <w:r>
        <w:rPr>
          <w:bdr w:val="single" w:sz="12" w:space="1" w:color="000000"/>
        </w:rPr>
        <w:t>S-4</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17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announcement or expectation of additional financing efforts;</w:t>
            </w:r>
          </w:p>
        </w:tc>
      </w:tr>
    </w:tbl>
    <w:p>
      <w:pPr>
        <w:pStyle w:val="TextBody"/>
        <w:bidi w:val="0"/>
        <w:spacing w:before="0" w:after="0"/>
        <w:ind w:left="1440" w:right="0" w:hanging="72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our common stock by us or our stockholders;</w:t>
            </w:r>
          </w:p>
        </w:tc>
      </w:tr>
    </w:tbl>
    <w:p>
      <w:pPr>
        <w:pStyle w:val="TextBody"/>
        <w:bidi w:val="0"/>
        <w:spacing w:before="0" w:after="0"/>
        <w:ind w:left="1440" w:right="0" w:hanging="72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price and volume fluctuations attributable to inconsistent trading volume levels of our shares;</w:t>
            </w:r>
          </w:p>
        </w:tc>
      </w:tr>
    </w:tbl>
    <w:p>
      <w:pPr>
        <w:pStyle w:val="TextBody"/>
        <w:bidi w:val="0"/>
        <w:spacing w:before="0" w:after="0"/>
        <w:ind w:left="1440" w:right="0" w:hanging="72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dilution resulting from this offering and future sales of equity;</w:t>
            </w:r>
          </w:p>
        </w:tc>
      </w:tr>
    </w:tbl>
    <w:p>
      <w:pPr>
        <w:pStyle w:val="TextBody"/>
        <w:bidi w:val="0"/>
        <w:spacing w:before="0" w:after="0"/>
        <w:ind w:left="1440" w:right="0" w:hanging="72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obtain sufficient funding or access capital; and</w:t>
            </w:r>
          </w:p>
        </w:tc>
      </w:tr>
    </w:tbl>
    <w:p>
      <w:pPr>
        <w:pStyle w:val="TextBody"/>
        <w:bidi w:val="0"/>
        <w:spacing w:before="0" w:after="0"/>
        <w:ind w:left="1440" w:right="0" w:hanging="72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domestic and international economic and market conditions.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ongoing global conflicts, U.S. tariffs and trade policies, or international currency fluctuations, may negatively impact the market price of our common stock. If the market price of our common stock after this offering does not exceed the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from this offering and may not use them effectively.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including for any of the purposes described in the section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as well as our existing cash and cash equivalents, and you will be relying on the judgment of our management regarding such application. Accordingly, you will have to rely upon the judgment of our management with respect to the use of the proceeds, with only limited information concerning management’s specific intentions.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our common stock by existing stockholders, or the perception that these sales may occur, especially by our directors, executive officers or significant stockholders, may cause our stock price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existing stockholders, in particular our directors, executive officers or other affiliates, sell substantial amounts of our common stock in the public market, or are perceived by the public market as intending to sell, the trading price of our common stock could decline. In addition, sales of these shares of our common stock could impair our ability to raise capital, should we wish to do so. We cannot predict the timing or amount of future sales of our common stock by existing stockholders, but such sales, or the perception that such sales could occur, may adversely affect prevailing market prices for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in this offering will experience immediate and substantial dilution in the book value of their 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share of our common stock being offered may be higher than the net tangible book value per share of our outstanding common stock prior to this offering. Assuming that an aggregate of 17,381,228 shares of our common stock are sold at a price of $8.63 per share, the last reported sale price of our common stock on Nasdaq on May 13, 2026, for aggregate gross proceeds of approximately $150,000,000, new investors in this offering would incur immediate dilution of $4.36 per share. For a more detailed discussion of the foregoing, see the section entitled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 below. To the extent outstanding stock options or warrants are exercised or outstanding restricted stock units vest, there will be further dilution to new investors. In addition, to the extent we raise additional capital in the future, and we issue shares of our common stock or securities convertible or exchangeable for our common stock, our then existing stockholders may experience dilution and the new securities may have rights senior to those of our common stock offered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equity could result in dilution to our stockholders, including purchasers of common stock in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our common stock, in future transactions may be higher or lower than the price per share paid by any investors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number of shares that will be issued or the aggregate proceeds resulting from sales made under the Sales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an Agent at any time throughout the term of the Sales Agreement. The number of shares that are sold through an Agent after delivering a placement notice will fluctuate based on a number of factors, including the market price of our common stock during the sales period, any limits we may set with an Agent in any applicable placement notice, and the demand for our common stock. Because the price per share of each share sold pursuant to the Sales Agreement will fluctuate over time, it is not currently possible to predict the number of shares that will be sold or the aggregate proceeds to be raised in connection with sales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delivered to an Agent,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business plans require a significant amount of capital. If we are unable to obtain sufficient funding or do not have access to capital, we will not be able to execute our business plans and our prospects, financial condition and results of operations would be materially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funding to execute our business plans. Therefore, in addition to the net proceeds received under the Sales Agreement, we expect to continue to seek other sources of funding, including by offering additional equity and/or equity-linked securities through one or more credit facilities and potentially by offering debt securities to finance a portion of our future expenditures. We have experienced operating losses, and we expect to continue to incur operating losses as we implement our business plans. We expect our capital expenditures to continue to be significant in the foreseeable future as we expand our business. We expect to deploy capital with significant outlays directed toward expanding our fleet operations, integrating recently acquired businesses, including Diligent Robotics, Inc. and Vebu, Inc., developing our healthcare and indoor autonomy products, and advancing related products and service offerings. The fact that we have a limited operating history in certain of our markets, including healthcare, means we have limited historical data on the demand for our services. As a result, our capital requirements are uncertain and actual capital requirements may be different from those we currently anticipate. In addition, new opportunities for growth in future services and markets may arise and may require additional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additional equity or equity-linked securities could dilute our stockholders. The incurrence of indebtedness would result in increased debt service obligations and could result in operating and financing covenants that would restrict our operations or our ability to pay dividends to our stockholders. Our ability to obtain the necessary additional financing to carry out our business plans is subject to a number of factors, including general market conditions and investor acceptance of our business model. These factors may make the timing, amount, terms and conditions of such financing unattractive or unavailable to us. If we are unable to raise sufficient funds on favorable terms, we will have to significantly reduce our spending, delay or cancel our planned activities or substantially change our corporate structure. We might not be able to obtain any such funding or we might not have sufficient resources to conduct our business as projected, both of which could mean that we would be forced to curtail or discontinue our operations and our prospects, financial condition and consolidated results of operations would be materially adversely affected, in which case our investors could lose some or all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our common stock and currently do not plan to pay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a_023"/>
      <w:bookmarkEnd w:id="8"/>
      <w:r>
        <w:rPr>
          <w:rFonts w:ascii="Times New Roman;Times;Serif" w:hAnsi="Times New Roman;Times;Serif"/>
          <w:b/>
          <w:i w:val="false"/>
          <w:caps/>
          <w:sz w:val="20"/>
        </w:rPr>
        <w:t>Cautionary Note Regarding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base prospectus, and any accompanying prospectus supplement, or some of the information incorporated herein by reference, contain certain statements that constitute “forward-looking statements” within the meaning of Section 27A of the Securities Act and Section 21E of the Exchange Act. These forward-looking statements include, without limitation, statements regarding future financial performance, business strategies, expansion plans, future results of operations,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supplement and any accompanying prospectus, words such as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should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intend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continue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or the negative of such terms or other similar expressions may identify forward-looking statements, but the absence of these words does not mean that a statement is not forward-looking. Forward-looking statements in this prospectus supplement and any accompanying prospectus and in any document incorporated by reference in this prospectus supplement may include, for example, statements about:</w:t>
      </w:r>
    </w:p>
    <w:p>
      <w:pPr>
        <w:pStyle w:val="TextBody"/>
        <w:bidi w:val="0"/>
        <w:spacing w:before="0" w:after="0"/>
        <w:ind w:left="1440" w:right="0" w:hanging="72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protect and enforce our intellectual property and the scope and duration of such protection;</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reliance on third parties, including suppliers, delivery platforms, brand sponsors, software providers and service providers;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operate in public spaces and any errors caused by human supervisors, network connectivity or automation;</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robots’ reliance on sophisticated software technology that incorporates third-party components and networks to operate and our ability to maintain licenses for this software technology;</w:t>
            </w:r>
          </w:p>
        </w:tc>
      </w:tr>
    </w:tbl>
    <w:p>
      <w:pPr>
        <w:pStyle w:val="TextBody"/>
        <w:bidi w:val="0"/>
        <w:spacing w:before="0" w:after="0"/>
        <w:ind w:left="1440" w:right="0" w:hanging="72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commercialize our products at a large scale;</w:t>
            </w:r>
          </w:p>
        </w:tc>
      </w:tr>
    </w:tbl>
    <w:p>
      <w:pPr>
        <w:pStyle w:val="TextBody"/>
        <w:bidi w:val="0"/>
        <w:spacing w:before="0" w:after="0"/>
        <w:ind w:left="1440" w:right="0" w:hanging="72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competitive industry in which we operate which is subject to rapid technological change;</w:t>
            </w:r>
          </w:p>
        </w:tc>
      </w:tr>
    </w:tbl>
    <w:p>
      <w:pPr>
        <w:pStyle w:val="TextBody"/>
        <w:bidi w:val="0"/>
        <w:spacing w:before="0" w:after="0"/>
        <w:ind w:left="1440" w:right="0" w:hanging="72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raise additional capital to develop our technology and scale our operations;</w:t>
            </w:r>
          </w:p>
        </w:tc>
      </w:tr>
    </w:tbl>
    <w:p>
      <w:pPr>
        <w:pStyle w:val="TextBody"/>
        <w:bidi w:val="0"/>
        <w:spacing w:before="0" w:after="0"/>
        <w:ind w:left="1440" w:right="0" w:hanging="720"/>
        <w:jc w:val="lef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developments and projections relating to our competitors and our industry;</w:t>
            </w:r>
          </w:p>
        </w:tc>
      </w:tr>
    </w:tbl>
    <w:p>
      <w:pPr>
        <w:pStyle w:val="TextBody"/>
        <w:bidi w:val="0"/>
        <w:spacing w:before="0" w:after="0"/>
        <w:ind w:left="1440" w:right="0" w:hanging="72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adequately control the costs associated with our operations;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impact of current and future laws and regulations, especially those related to personal delivery devices;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cybersecurity risks to our operational systems, infrastructure and integrated software by us or third-party vendors;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factors incorporated by reference herein, including those risk factors described in the section titled “</w:t>
            </w:r>
            <w:r>
              <w:rPr>
                <w:rFonts w:ascii="Times New Roman;Times;Serif" w:hAnsi="Times New Roman;Times;Serif"/>
                <w:i/>
              </w:rPr>
              <w:t>Risk Factors</w:t>
            </w:r>
            <w:r>
              <w:rPr>
                <w:rFonts w:ascii="Times New Roman;Times;Serif" w:hAnsi="Times New Roman;Times;Serif"/>
              </w:rPr>
              <w:t>” under Part I, Item 1A of our Annual Report for the year ended December 31, 2025 filed with the SEC on March 12, 2026, as supplemented by Quarterly Reports on Form 10-Q and Current Reports on Form 8-K filed with the SEC.</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supplement, the accompanying base prospectus, and in any document incorporated by reference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and in our periodic filings with the SEC. Our SEC filings are available publicly on the SEC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our assumptions prove incorrect, actual results may vary in material respects from those projected in these forward-looking statements. Accordingly, forward-looking statements in this prospectus supplement and in any document incorporated herein by reference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a_024"/>
      <w:bookmarkEnd w:id="9"/>
      <w:r>
        <w:rPr>
          <w:rFonts w:ascii="Times New Roman;Times;Serif" w:hAnsi="Times New Roman;Times;Serif"/>
          <w:b/>
          <w:i w:val="false"/>
          <w:caps/>
          <w:sz w:val="20"/>
        </w:rPr>
        <w:t>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our common stock having aggregate sales proceeds of up to $150,000,000 from time to time. Because there is no minimum offering price for the shares that we may offer from time to time, the actual total public offering amount, commissions and proceeds to us, if any, are not determinable at this time. Actual net proceeds will depend on the number of shares we sell and the prices at which such sales occur. There can be no assurance that we will sell any shares under or fully utilize the Sales Agreement with the Agents as a source of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uses of the net proceeds in this offering. We currently intend to use the net proceeds that we receive from this offering for working capital and other general corporate purposes. We may also use a portion of the net proceeds to acquire or invest in businesses and products that are complementary to our own, although we have no current plans, commitments or agreements with respect to any acquisitions.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by us. The net proceeds may be invested temporarily until they are used for their stated purpose or for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25"/>
      <w:bookmarkEnd w:id="10"/>
      <w:r>
        <w:rPr>
          <w:rFonts w:ascii="Times New Roman;Times;Serif" w:hAnsi="Times New Roman;Times;Serif"/>
          <w:b/>
          <w:i w:val="false"/>
          <w:caps/>
          <w:sz w:val="20"/>
        </w:rPr>
        <w:t>Dilution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shares of our common stock in this offering, your interest will be diluted to the extent of the difference between the public offering price per share of our common stock and the unaudited as adjusted pro forma net tangible book value per share of our common stock after this offering. As of March 31, 2026, our unaudited as adjusted net tangible book value was $253.3 million, or $3.33 per share of our common stock. We calculate unaudited as adjusted net tangible book value per share by dividing our net tangible assets (total tangible assets less total liabilities) by the 76,014,674 shares of our common stock outstanding as of March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by us of our common stock in the aggregate amount of $150,000,000 in this offering at an assumed offering price of $8.63 per share, which was the last reported sale price of our common stock on Nasdaq on May 13, 2026, and after deducting commissions and estimated offering expenses payable by us, our unaudited as adjusted pro forma net tangible book value as of March 31, 2026 would have been approximately $398.4 million, or $4.27 per share of our common stock. This represents an immediate increase in unaudited as adjusted pro forma net tangible book value of $0.94 per share to existing stockholders and an immediate dilution of $4.36 per share to new investors purchasing securities in this offering. We determine dilution by subtracting our unaudited as adjusted pro forma net tangible book value per share after this offering from the amount of cash paid by an investor for a share of common stock in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dilution on a per share basis: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90"/>
        <w:gridCol w:w="60"/>
        <w:gridCol w:w="140"/>
        <w:gridCol w:w="440"/>
        <w:gridCol w:w="60"/>
        <w:gridCol w:w="60"/>
        <w:gridCol w:w="140"/>
        <w:gridCol w:w="440"/>
        <w:gridCol w:w="75"/>
      </w:tblGrid>
      <w:tr>
        <w:trPr/>
        <w:tc>
          <w:tcPr>
            <w:tcW w:w="8790" w:type="dxa"/>
            <w:tcBorders/>
            <w:shd w:fill="CCEEFF" w:val="clear"/>
            <w:vAlign w:val="center"/>
          </w:tcPr>
          <w:p>
            <w:pPr>
              <w:pStyle w:val="TableContents"/>
              <w:bidi w:val="0"/>
              <w:spacing w:before="0" w:after="283"/>
              <w:jc w:val="left"/>
              <w:rPr/>
            </w:pPr>
            <w:r>
              <w:rPr/>
              <w:t>Assumed public offering price per share of our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8.63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790" w:type="dxa"/>
            <w:tcBorders/>
            <w:shd w:fill="FFFFFF" w:val="clear"/>
            <w:vAlign w:val="center"/>
          </w:tcPr>
          <w:p>
            <w:pPr>
              <w:pStyle w:val="TableContents"/>
              <w:bidi w:val="0"/>
              <w:spacing w:before="0" w:after="283"/>
              <w:jc w:val="left"/>
              <w:rPr/>
            </w:pPr>
            <w:r>
              <w:rPr/>
              <w:t>Unaudited as adjusted net tangible book value per share of our common stock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790" w:type="dxa"/>
            <w:tcBorders/>
            <w:shd w:fill="CCEEFF" w:val="clear"/>
            <w:vAlign w:val="center"/>
          </w:tcPr>
          <w:p>
            <w:pPr>
              <w:pStyle w:val="TableContents"/>
              <w:bidi w:val="0"/>
              <w:spacing w:before="0" w:after="283"/>
              <w:jc w:val="left"/>
              <w:rPr/>
            </w:pPr>
            <w:r>
              <w:rPr/>
              <w:t>Increase per share of our common stock attributable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790" w:type="dxa"/>
            <w:tcBorders/>
            <w:shd w:fill="FFFFFF" w:val="clear"/>
            <w:vAlign w:val="center"/>
          </w:tcPr>
          <w:p>
            <w:pPr>
              <w:pStyle w:val="TableContents"/>
              <w:bidi w:val="0"/>
              <w:spacing w:before="0" w:after="283"/>
              <w:jc w:val="left"/>
              <w:rPr/>
            </w:pPr>
            <w:r>
              <w:rPr/>
              <w:t>Unaudited as adjusted pro forma net tangible book value per share of our common stock as of March 31,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4.27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790" w:type="dxa"/>
            <w:tcBorders/>
            <w:shd w:fill="CCEEFF" w:val="clear"/>
            <w:vAlign w:val="center"/>
          </w:tcPr>
          <w:p>
            <w:pPr>
              <w:pStyle w:val="TableContents"/>
              <w:bidi w:val="0"/>
              <w:spacing w:before="0" w:after="283"/>
              <w:jc w:val="left"/>
              <w:rPr/>
            </w:pPr>
            <w:r>
              <w:rPr/>
              <w:t>Dilution in unaudited as adjusted pro forma net tangible book value per share of our common stock to new investors purchasing our common stock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4.36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17,381,228 shares of our common stock are sold at a price of $8.63, which was the last reported sale price of our common stock on Nasdaq on May 13, 2026, per share for aggregate gross proceeds of $150,000,000. An increase of $1.00 per share in the price at which the shares of our common stock are sold from the assumed offering price of $8.63 per share shown in the table above, assuming all of the shares of our common stock in the aggregate amount of $150,000,000 are sold at that price, would increase our unaudited as adjusted pro forma net tangible book value per share of our common stock after the offering to $4.35 per share and would result in dilution in unaudited as adjusted pro forma net tangible book value per share of our common stock to new investors of $5.28 per share, after deducting commissions and estimated offering expenses payable by us. A decrease of $1.00 per share in the price at which the shares are sold from the assumed offering price of $8.63 per share shown in the table above, assuming all of the shares of our common stock in the aggregate amount of $150,000,000 are sold at that price, would decrease our unaudited as adjusted pro forma net tangible book value per share of our common stock after the offering to $4.16 per share and would result in dilution in unaudited as adjusted pro forma net tangible book value per share of our common stock to new investors of $3.47 per share, after deducting commissions and estimated offering expenses payable by us. This information is supplied for illustrative purposes only and may differ based on the actual offering price and the actual number of shares of our common stock sold in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expected to be outstanding immediately after this offering included in the table above is based on 76,014,674 shares of our common stock outstanding as of March 31, 2026, and excludes:</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743,872 shares of our common stock issuable upon the exercise of options outstanding as of March 31, 2026, at a weighted average exercise price of $0.91 per share under our 2021 Stock Plan, 2023 Equity Incentive Plan, and 2022 Vayu Plan;</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9,461,039 shares of our common stock issuable upon the vesting of restricted stock units outstanding as of March 31, 2026 under our 2021 Stock Plan, 2023 Equity Incentive Plan, 2022 Vayu Plan, and 2025 Vayu Plan;</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5,079,294 shares of our common stock issuable upon the exercise of warrants outstanding as of March 31, 2026 at a weighted average exercise price of $10.18 per share;</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2,163,338 shares of our common stock reserved for issuance as of March 31, 2026 under our 2021 Stock Plan, 2023 Equity Incentive Plan, 2022 Vayu Plan, and 2025 Vayu Plan;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1,027,000 shares of our common stock issued in transactions consummated on April 1, 2026 pursuant to our Controlled Equity Offering</w:t>
            </w:r>
            <w:r>
              <w:rPr>
                <w:rFonts w:ascii="Times New Roman;Times;Serif" w:hAnsi="Times New Roman;Times;Serif"/>
                <w:position w:val="8"/>
                <w:sz w:val="19"/>
              </w:rPr>
              <w:t xml:space="preserve">SM </w:t>
            </w:r>
            <w:r>
              <w:rPr>
                <w:rFonts w:ascii="Times New Roman;Times;Serif" w:hAnsi="Times New Roman;Times;Serif"/>
              </w:rPr>
              <w:t>Agreement, dated as of March 6, 2025, at a weighted average price of $8.22 per share. The Controlled Equity Offering</w:t>
            </w:r>
            <w:r>
              <w:rPr>
                <w:rFonts w:ascii="Times New Roman;Times;Serif" w:hAnsi="Times New Roman;Times;Serif"/>
                <w:position w:val="8"/>
                <w:sz w:val="19"/>
              </w:rPr>
              <w:t>SM</w:t>
            </w:r>
            <w:r>
              <w:rPr>
                <w:rFonts w:ascii="Times New Roman;Times;Serif" w:hAnsi="Times New Roman;Times;Serif"/>
              </w:rPr>
              <w:t xml:space="preserve"> Agreement was terminated effective May 7, 2026.</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all information in this prospectus supplement assumes no exercise or vesting of the outstanding securities described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options or warrants have been or are exercised, outstanding restricted stock units have vested and settled or vest and settle, or other shares of our common stock are issued, investors purchasing shares of our common stock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securities, the issuance of these securities could result in further dilution to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a_026"/>
      <w:bookmarkEnd w:id="11"/>
      <w:r>
        <w:rPr>
          <w:rFonts w:ascii="Times New Roman;Times;Serif" w:hAnsi="Times New Roman;Times;Serif"/>
          <w:b/>
          <w:i w:val="false"/>
          <w:caps/>
          <w:sz w:val="20"/>
        </w:rPr>
        <w:t>Dividend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We may retain future earnings, if any, for future operations, expansion and debt repayment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existing and future outstanding indebtedness we or our subsidiaries incur. We do not anticipate declaring any cash dividends to holders of our common stock in the foreseeable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a_027"/>
      <w:bookmarkEnd w:id="12"/>
      <w:r>
        <w:rPr>
          <w:rFonts w:ascii="Times New Roman;Times;Serif" w:hAnsi="Times New Roman;Times;Serif"/>
          <w:b/>
          <w:i w:val="false"/>
          <w:caps/>
          <w:sz w:val="20"/>
        </w:rPr>
        <w:t>Plan of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the Agents on May 11, 2026, under which we may offer and sell up to $150,000,000 of shares of our common stock from time to time through or to the Agents, as sales agents or principals. Sales of our shares of common stock, if any, under this prospectus supplement and the accompanying base prospectus will be made by any method that is deemed to be an “at the market offering” as defined in Rule 415(a)(4) under the Securities Act, including by means of ordinary brokers’ transactions on Nasdaq at market prices or otherwise at prices related to prevailing market prices or at negotiated prices, by privately negotiated transactions (including block sales) or by any other methods permitted by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wish to issue and sell shares of our common stock under the Sales Agreement, we will notify an Agent of the number of shares to be issued, the dates on which such sales are anticipated to be made, any limitation on the number of shares to be sold in any one day and any minimum price below which sales may not be made. Once we have so instructed an Agent, unless such Agent declines to accept the terms of such notice, each Agent has agreed to use its commercially reasonable efforts consistent with normal trading and sales practices and applicable state and federal laws, rules, and regulations and the rules of Nasdaq, to sell such shares up to the amount specified on such terms. The obligations of the Agents under the Sales Agreement to sell shares of our common stock are subject to a number of conditions that we must meet.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sales of shares between us and the Agents is generally anticipated to occur on the first trading day following the date on which the sale was made. Sales of shares of our common stock as contemplated in this prospectus supplement will be settled through the facilities of The Depository Trust Company or by such other means as we and the Agents may agree upon. There is no arrangement for funds to be received in an escrow, trust or similar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Agents a commission of up to 3.0% of the gross offering proceeds of the shares of our common stock sold pursuant to the Sales Agreement. Because there is no minimum offering amount required as a condition to close this offering, the actual total public offering amount, commissions and proceeds to us, if any, are not determinable at this time. In addition, we have agreed in the Sales Agreement to reimburse the Agents for certain fees and disbursements payable upon execution of the Sales Agreement, in an amount not to exceed $100,000, in addition to certain ongoing disbursements of their legal counsel in the amount up to $25,000 in connection with certain events described in the Sales Agreement. We estimate that the total expenses for the offering, excluding any commissions or expense reimbursement payable to the Agents under the terms of the Sales Agreement, will be approximately $335,000. The remaining sale proceeds, after deducting any other transaction fees, will equal our net proceeds from the sale of such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will provide written confirmation to us prior to the opening of trading on Nasdaq on the trading day following each day in which shares of our common stock are sold under the Sales Agreement setting forth (i) the number of shares of common stock sold on such day, (ii) the price or prices at which such shares of common stock were sold on such day, (iii) the gross offering proceeds received from such sale, (iv) the net proceeds to the Company and (v) the commission payable by the Company to the Agents with respect to such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shares of our common stock on our behalf, the Agents will be deemed to be an “underwriter” within the meaning of the Securities Act, and the compensation of the Agents will be deemed to be underwriting commissions or discounts. We have agreed to indemnify the Agents against certain civil liabilities, including liabilities under the Securities Act. We have also agreed to contribute to payments the Agents may be required to make in respect of such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shares of our common stock pursuant to the Sales Agreement will terminate upon the earlier of (i) the sale of all shares of our common stock subject to the Sales Agreement and (ii) the termination of the Sales Agreement as permitted therein. We and the Agents may each terminate the Sales Agreement at any time upon five days’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and their affiliates may in the future provide various investment banking, commercial banking, financial advisory and other financial services for us and our affiliates, for which services they may in the future receive customary fees. In the course of their business, the Agents may actively trade our securities for their own accounts or for the accounts of customers, and, accordingly, the Agents may at any time hold long or short positions in such securities. Evercore Group L.L.C. has in the past acted as our financial advisor, for which we previously agreed to pay Evercore Group L.L.C. a fee of $1,000,000.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and the accompanying base prospectus in electronic format may be made available on a website maintained by the Agents, and the Agents may distribute the prospectus supplement and the accompanying base prospectus electronically.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28"/>
      <w:bookmarkEnd w:id="13"/>
      <w:r>
        <w:rPr>
          <w:rFonts w:ascii="Times New Roman;Times;Serif" w:hAnsi="Times New Roman;Times;Serif"/>
          <w:b/>
          <w:i w:val="false"/>
          <w:caps/>
          <w:sz w:val="20"/>
        </w:rPr>
        <w:t>Legal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our common stock offered by this prospectus supplement will be passed upon for the Company by Orrick, Herrington &amp; Sutcliffe LLP, Boston, Massachusetts. Latham &amp; Watkins LLP, Redwood City, California, is acting as counsel for the Agents in connection with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29"/>
      <w:bookmarkEnd w:id="14"/>
      <w:r>
        <w:rPr>
          <w:rFonts w:ascii="Times New Roman;Times;Serif" w:hAnsi="Times New Roman;Times;Serif"/>
          <w:b/>
          <w:i w:val="false"/>
          <w:caps/>
          <w:sz w:val="20"/>
        </w:rPr>
        <w:t>Experts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as of December 31, 2025 and for the year ended December 31, 2025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as of and for the year ended December 31, 2024 incorporated by reference in this prospectus supplement have been audited by dbbmckennon, an independent registered public accounting firm, as set forth in their report thereon, which is also incorporated by reference herein, and are incorporated by reference in reliance upon such report given on the authority of such firm as experts in accounting and auditing.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Diligent Robotics, Inc. as of and for the year ended December 31, 2025 incorporated by reference in this prospectus supplement have been audited by dbbmckennon, an independent registered public accounting firm, as set forth in their report thereon, which is also incorporated by reference herein, and are incorporated by reference in reliance upon such report given on the authority of such firm as experts in accounting and auditing.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$300,000,000</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3835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038350" cy="76200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Preferred Stock</w:t>
        <w:br/>
        <w:t>Debt Securities</w:t>
        <w:br/>
        <w:t>Warrants</w:t>
        <w:br/>
        <w:t>Rights</w:t>
        <w:br/>
        <w:t>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in one or more offerings, in amounts, at prices and on terms determined at the time of any such offering, common stock, preferred stock, debt securities, warrants or rights, either individually or in units, with a total value of up to $300,000,000.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describes some of the general terms that may apply to these securities. Each time securities are sold, the specific terms and amounts of the securities being offered, and any other information relating to the specific offering will be set forth in a supplement to this base prospectus. We may also authorize one or more free writing prospectuses to be provided to you in connection with these offerings. The prospectus supplement and any related free writing prospectus may also supplement, update or amend information contained in this base prospectus. You should read this base prospectus, the applicable prospectus supplement and any related free writing prospectus, as well as any documents incorporated by reference, before you invest in any of the securities being offered.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BASE PROSPECTUS MAY NOT BE USED TO OFFER AND SELL SECURITIES UNLESS ACCOMPANIED BY A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trades on The Nasdaq Capital Market under the symbol “SERV.” On May 5, 2026, the last reported sale price of the common stock on The Nasdaq Capital Market was $9.14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 securities from time to time in amounts, at prices and on terms determined at the time of offering. We may offer and sell the securities directly to you, through agents we select or through underwriters and dealers we select on a continuous or delayed basis. The accompanying prospectus supplement will provide the specific terms of the plan of distribution. If we use agents, underwriters or dealers to sell the securities, we will name them and describe their compensation in the prospectus supplement. The price to the public of such securities and the net proceeds we expect to receive from such sale will also be set forth in the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under federal securities laws and, as such, are subject to reduced public company reporting requirements. See “Prospectus Summary—Implications of Being an Emerging Growth Company and a Smaller Reporting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carefully read and consider the risk factors described in this base prospectus, any accompanying prospectus supplement, any related free writing prospectus and in the documents incorporated by reference into this base prospectus. See “Risk Factors” beginning on page 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these securities or determined if this base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base prospectus is May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righ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8165"/>
        <w:gridCol w:w="530"/>
      </w:tblGrid>
      <w:tr>
        <w:trPr/>
        <w:tc>
          <w:tcPr>
            <w:tcW w:w="816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165" w:type="dxa"/>
            <w:tcBorders/>
            <w:shd w:fill="CCEEFF" w:val="clear"/>
            <w:vAlign w:val="center"/>
          </w:tcPr>
          <w:p>
            <w:pPr>
              <w:pStyle w:val="TableContents"/>
              <w:bidi w:val="0"/>
              <w:spacing w:before="0" w:after="283"/>
              <w:jc w:val="left"/>
              <w:rPr/>
            </w:pPr>
            <w:hyperlink w:anchor="b_001">
              <w:r>
                <w:rPr>
                  <w:rStyle w:val="InternetLink"/>
                </w:rPr>
                <w:t>ABOUT THIS BASE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8165" w:type="dxa"/>
            <w:tcBorders/>
            <w:shd w:fill="FFFFFF" w:val="clear"/>
            <w:vAlign w:val="center"/>
          </w:tcPr>
          <w:p>
            <w:pPr>
              <w:pStyle w:val="TableContents"/>
              <w:bidi w:val="0"/>
              <w:spacing w:before="0" w:after="283"/>
              <w:jc w:val="left"/>
              <w:rPr/>
            </w:pPr>
            <w:hyperlink w:anchor="b_002">
              <w:r>
                <w:rPr>
                  <w:rStyle w:val="InternetLink"/>
                </w:rPr>
                <w:t>PROSPECTUS SUMMARY</w:t>
              </w:r>
            </w:hyperlink>
          </w:p>
        </w:tc>
        <w:tc>
          <w:tcPr>
            <w:tcW w:w="530" w:type="dxa"/>
            <w:tcBorders/>
            <w:shd w:fill="FFFFFF" w:val="clear"/>
            <w:vAlign w:val="center"/>
          </w:tcPr>
          <w:p>
            <w:pPr>
              <w:pStyle w:val="TableContents"/>
              <w:bidi w:val="0"/>
              <w:spacing w:before="0" w:after="283"/>
              <w:jc w:val="center"/>
              <w:rPr/>
            </w:pPr>
            <w:r>
              <w:rPr/>
              <w:t>1</w:t>
            </w:r>
          </w:p>
        </w:tc>
      </w:tr>
      <w:tr>
        <w:trPr/>
        <w:tc>
          <w:tcPr>
            <w:tcW w:w="8165" w:type="dxa"/>
            <w:tcBorders/>
            <w:shd w:fill="CCEEFF" w:val="clear"/>
            <w:vAlign w:val="center"/>
          </w:tcPr>
          <w:p>
            <w:pPr>
              <w:pStyle w:val="TableContents"/>
              <w:bidi w:val="0"/>
              <w:spacing w:before="0" w:after="283"/>
              <w:jc w:val="left"/>
              <w:rPr/>
            </w:pPr>
            <w:hyperlink w:anchor="b_003">
              <w:r>
                <w:rPr>
                  <w:rStyle w:val="InternetLink"/>
                </w:rPr>
                <w:t>RISK FACTORS</w:t>
              </w:r>
            </w:hyperlink>
          </w:p>
        </w:tc>
        <w:tc>
          <w:tcPr>
            <w:tcW w:w="530" w:type="dxa"/>
            <w:tcBorders/>
            <w:shd w:fill="CCEEFF" w:val="clear"/>
            <w:vAlign w:val="center"/>
          </w:tcPr>
          <w:p>
            <w:pPr>
              <w:pStyle w:val="TableContents"/>
              <w:bidi w:val="0"/>
              <w:spacing w:before="0" w:after="283"/>
              <w:jc w:val="center"/>
              <w:rPr/>
            </w:pPr>
            <w:r>
              <w:rPr/>
              <w:t>4</w:t>
            </w:r>
          </w:p>
        </w:tc>
      </w:tr>
      <w:tr>
        <w:trPr/>
        <w:tc>
          <w:tcPr>
            <w:tcW w:w="8165" w:type="dxa"/>
            <w:tcBorders/>
            <w:shd w:fill="FFFFFF" w:val="clear"/>
            <w:vAlign w:val="center"/>
          </w:tcPr>
          <w:p>
            <w:pPr>
              <w:pStyle w:val="TableContents"/>
              <w:bidi w:val="0"/>
              <w:spacing w:before="0" w:after="283"/>
              <w:jc w:val="left"/>
              <w:rPr/>
            </w:pPr>
            <w:hyperlink w:anchor="b_004">
              <w:r>
                <w:rPr>
                  <w:rStyle w:val="InternetLink"/>
                </w:rPr>
                <w:t>CAUTIONARY NOTE REGARDING FORWARD-LOOKING INFORMATION</w:t>
              </w:r>
            </w:hyperlink>
          </w:p>
        </w:tc>
        <w:tc>
          <w:tcPr>
            <w:tcW w:w="530" w:type="dxa"/>
            <w:tcBorders/>
            <w:shd w:fill="FFFFFF" w:val="clear"/>
            <w:vAlign w:val="center"/>
          </w:tcPr>
          <w:p>
            <w:pPr>
              <w:pStyle w:val="TableContents"/>
              <w:bidi w:val="0"/>
              <w:spacing w:before="0" w:after="283"/>
              <w:jc w:val="center"/>
              <w:rPr/>
            </w:pPr>
            <w:r>
              <w:rPr/>
              <w:t>5</w:t>
            </w:r>
          </w:p>
        </w:tc>
      </w:tr>
      <w:tr>
        <w:trPr/>
        <w:tc>
          <w:tcPr>
            <w:tcW w:w="8165" w:type="dxa"/>
            <w:tcBorders/>
            <w:shd w:fill="CCEEFF" w:val="clear"/>
            <w:vAlign w:val="center"/>
          </w:tcPr>
          <w:p>
            <w:pPr>
              <w:pStyle w:val="TableContents"/>
              <w:bidi w:val="0"/>
              <w:spacing w:before="0" w:after="283"/>
              <w:jc w:val="left"/>
              <w:rPr/>
            </w:pPr>
            <w:hyperlink w:anchor="b_005">
              <w:r>
                <w:rPr>
                  <w:rStyle w:val="InternetLink"/>
                </w:rPr>
                <w:t>USE OF PROCEEDS</w:t>
              </w:r>
            </w:hyperlink>
          </w:p>
        </w:tc>
        <w:tc>
          <w:tcPr>
            <w:tcW w:w="530" w:type="dxa"/>
            <w:tcBorders/>
            <w:shd w:fill="CCEEFF" w:val="clear"/>
            <w:vAlign w:val="center"/>
          </w:tcPr>
          <w:p>
            <w:pPr>
              <w:pStyle w:val="TableContents"/>
              <w:bidi w:val="0"/>
              <w:spacing w:before="0" w:after="283"/>
              <w:jc w:val="center"/>
              <w:rPr/>
            </w:pPr>
            <w:r>
              <w:rPr/>
              <w:t>6</w:t>
            </w:r>
          </w:p>
        </w:tc>
      </w:tr>
      <w:tr>
        <w:trPr/>
        <w:tc>
          <w:tcPr>
            <w:tcW w:w="8165" w:type="dxa"/>
            <w:tcBorders/>
            <w:shd w:fill="FFFFFF" w:val="clear"/>
            <w:vAlign w:val="center"/>
          </w:tcPr>
          <w:p>
            <w:pPr>
              <w:pStyle w:val="TableContents"/>
              <w:bidi w:val="0"/>
              <w:spacing w:before="0" w:after="283"/>
              <w:jc w:val="left"/>
              <w:rPr/>
            </w:pPr>
            <w:hyperlink w:anchor="b_006">
              <w:r>
                <w:rPr>
                  <w:rStyle w:val="InternetLink"/>
                </w:rPr>
                <w:t>DESCRIPTION OF CAPITAL STOCK</w:t>
              </w:r>
            </w:hyperlink>
          </w:p>
        </w:tc>
        <w:tc>
          <w:tcPr>
            <w:tcW w:w="530" w:type="dxa"/>
            <w:tcBorders/>
            <w:shd w:fill="FFFFFF" w:val="clear"/>
            <w:vAlign w:val="center"/>
          </w:tcPr>
          <w:p>
            <w:pPr>
              <w:pStyle w:val="TableContents"/>
              <w:bidi w:val="0"/>
              <w:spacing w:before="0" w:after="283"/>
              <w:jc w:val="center"/>
              <w:rPr/>
            </w:pPr>
            <w:r>
              <w:rPr/>
              <w:t>7</w:t>
            </w:r>
          </w:p>
        </w:tc>
      </w:tr>
      <w:tr>
        <w:trPr/>
        <w:tc>
          <w:tcPr>
            <w:tcW w:w="8165" w:type="dxa"/>
            <w:tcBorders/>
            <w:shd w:fill="CCEEFF" w:val="clear"/>
            <w:vAlign w:val="center"/>
          </w:tcPr>
          <w:p>
            <w:pPr>
              <w:pStyle w:val="TableContents"/>
              <w:bidi w:val="0"/>
              <w:spacing w:before="0" w:after="283"/>
              <w:jc w:val="left"/>
              <w:rPr/>
            </w:pPr>
            <w:hyperlink w:anchor="b_007">
              <w:r>
                <w:rPr>
                  <w:rStyle w:val="InternetLink"/>
                </w:rPr>
                <w:t>ADDITIONAL INFORMATION CONCERNING OUR CAPITAL STOCK</w:t>
              </w:r>
            </w:hyperlink>
          </w:p>
        </w:tc>
        <w:tc>
          <w:tcPr>
            <w:tcW w:w="530" w:type="dxa"/>
            <w:tcBorders/>
            <w:shd w:fill="CCEEFF" w:val="clear"/>
            <w:vAlign w:val="center"/>
          </w:tcPr>
          <w:p>
            <w:pPr>
              <w:pStyle w:val="TableContents"/>
              <w:bidi w:val="0"/>
              <w:spacing w:before="0" w:after="283"/>
              <w:jc w:val="center"/>
              <w:rPr/>
            </w:pPr>
            <w:r>
              <w:rPr/>
              <w:t>9</w:t>
            </w:r>
          </w:p>
        </w:tc>
      </w:tr>
      <w:tr>
        <w:trPr/>
        <w:tc>
          <w:tcPr>
            <w:tcW w:w="8165" w:type="dxa"/>
            <w:tcBorders/>
            <w:shd w:fill="FFFFFF" w:val="clear"/>
            <w:vAlign w:val="center"/>
          </w:tcPr>
          <w:p>
            <w:pPr>
              <w:pStyle w:val="TableContents"/>
              <w:bidi w:val="0"/>
              <w:spacing w:before="0" w:after="283"/>
              <w:jc w:val="left"/>
              <w:rPr/>
            </w:pPr>
            <w:hyperlink w:anchor="b_008">
              <w:r>
                <w:rPr>
                  <w:rStyle w:val="InternetLink"/>
                </w:rPr>
                <w:t>DESCRIPTION OF DEBT SECURITIES</w:t>
              </w:r>
            </w:hyperlink>
          </w:p>
        </w:tc>
        <w:tc>
          <w:tcPr>
            <w:tcW w:w="530" w:type="dxa"/>
            <w:tcBorders/>
            <w:shd w:fill="FFFFFF" w:val="clear"/>
            <w:vAlign w:val="center"/>
          </w:tcPr>
          <w:p>
            <w:pPr>
              <w:pStyle w:val="TableContents"/>
              <w:bidi w:val="0"/>
              <w:spacing w:before="0" w:after="283"/>
              <w:jc w:val="center"/>
              <w:rPr/>
            </w:pPr>
            <w:r>
              <w:rPr/>
              <w:t>13</w:t>
            </w:r>
          </w:p>
        </w:tc>
      </w:tr>
      <w:tr>
        <w:trPr/>
        <w:tc>
          <w:tcPr>
            <w:tcW w:w="8165" w:type="dxa"/>
            <w:tcBorders/>
            <w:shd w:fill="CCEEFF" w:val="clear"/>
            <w:vAlign w:val="center"/>
          </w:tcPr>
          <w:p>
            <w:pPr>
              <w:pStyle w:val="TableContents"/>
              <w:bidi w:val="0"/>
              <w:spacing w:before="0" w:after="283"/>
              <w:jc w:val="left"/>
              <w:rPr/>
            </w:pPr>
            <w:hyperlink w:anchor="b_009">
              <w:r>
                <w:rPr>
                  <w:rStyle w:val="InternetLink"/>
                </w:rPr>
                <w:t>DESCRIPTION OF WARRANTS</w:t>
              </w:r>
            </w:hyperlink>
          </w:p>
        </w:tc>
        <w:tc>
          <w:tcPr>
            <w:tcW w:w="530" w:type="dxa"/>
            <w:tcBorders/>
            <w:shd w:fill="CCEEFF" w:val="clear"/>
            <w:vAlign w:val="center"/>
          </w:tcPr>
          <w:p>
            <w:pPr>
              <w:pStyle w:val="TableContents"/>
              <w:bidi w:val="0"/>
              <w:spacing w:before="0" w:after="283"/>
              <w:jc w:val="center"/>
              <w:rPr/>
            </w:pPr>
            <w:r>
              <w:rPr/>
              <w:t>21</w:t>
            </w:r>
          </w:p>
        </w:tc>
      </w:tr>
      <w:tr>
        <w:trPr/>
        <w:tc>
          <w:tcPr>
            <w:tcW w:w="8165" w:type="dxa"/>
            <w:tcBorders/>
            <w:shd w:fill="FFFFFF" w:val="clear"/>
            <w:vAlign w:val="center"/>
          </w:tcPr>
          <w:p>
            <w:pPr>
              <w:pStyle w:val="TableContents"/>
              <w:bidi w:val="0"/>
              <w:spacing w:before="0" w:after="283"/>
              <w:jc w:val="left"/>
              <w:rPr/>
            </w:pPr>
            <w:hyperlink w:anchor="b_010">
              <w:r>
                <w:rPr>
                  <w:rStyle w:val="InternetLink"/>
                </w:rPr>
                <w:t>DESCRIPTION OF RIGHTS</w:t>
              </w:r>
            </w:hyperlink>
          </w:p>
        </w:tc>
        <w:tc>
          <w:tcPr>
            <w:tcW w:w="530" w:type="dxa"/>
            <w:tcBorders/>
            <w:shd w:fill="FFFFFF" w:val="clear"/>
            <w:vAlign w:val="center"/>
          </w:tcPr>
          <w:p>
            <w:pPr>
              <w:pStyle w:val="TableContents"/>
              <w:bidi w:val="0"/>
              <w:spacing w:before="0" w:after="283"/>
              <w:jc w:val="center"/>
              <w:rPr/>
            </w:pPr>
            <w:r>
              <w:rPr/>
              <w:t>23</w:t>
            </w:r>
          </w:p>
        </w:tc>
      </w:tr>
      <w:tr>
        <w:trPr/>
        <w:tc>
          <w:tcPr>
            <w:tcW w:w="8165" w:type="dxa"/>
            <w:tcBorders/>
            <w:shd w:fill="CCEEFF" w:val="clear"/>
            <w:vAlign w:val="center"/>
          </w:tcPr>
          <w:p>
            <w:pPr>
              <w:pStyle w:val="TableContents"/>
              <w:bidi w:val="0"/>
              <w:spacing w:before="0" w:after="283"/>
              <w:jc w:val="left"/>
              <w:rPr/>
            </w:pPr>
            <w:hyperlink w:anchor="b_011">
              <w:r>
                <w:rPr>
                  <w:rStyle w:val="InternetLink"/>
                </w:rPr>
                <w:t>DESCRIPTION OF UNITS</w:t>
              </w:r>
            </w:hyperlink>
          </w:p>
        </w:tc>
        <w:tc>
          <w:tcPr>
            <w:tcW w:w="530" w:type="dxa"/>
            <w:tcBorders/>
            <w:shd w:fill="CCEEFF" w:val="clear"/>
            <w:vAlign w:val="center"/>
          </w:tcPr>
          <w:p>
            <w:pPr>
              <w:pStyle w:val="TableContents"/>
              <w:bidi w:val="0"/>
              <w:spacing w:before="0" w:after="283"/>
              <w:jc w:val="center"/>
              <w:rPr/>
            </w:pPr>
            <w:r>
              <w:rPr/>
              <w:t>24</w:t>
            </w:r>
          </w:p>
        </w:tc>
      </w:tr>
      <w:tr>
        <w:trPr/>
        <w:tc>
          <w:tcPr>
            <w:tcW w:w="8165" w:type="dxa"/>
            <w:tcBorders/>
            <w:shd w:fill="FFFFFF" w:val="clear"/>
            <w:vAlign w:val="center"/>
          </w:tcPr>
          <w:p>
            <w:pPr>
              <w:pStyle w:val="TableContents"/>
              <w:bidi w:val="0"/>
              <w:spacing w:before="0" w:after="283"/>
              <w:jc w:val="left"/>
              <w:rPr/>
            </w:pPr>
            <w:hyperlink w:anchor="b_012">
              <w:r>
                <w:rPr>
                  <w:rStyle w:val="InternetLink"/>
                </w:rPr>
                <w:t>PLAN OF DISTRIBUTION</w:t>
              </w:r>
            </w:hyperlink>
          </w:p>
        </w:tc>
        <w:tc>
          <w:tcPr>
            <w:tcW w:w="530" w:type="dxa"/>
            <w:tcBorders/>
            <w:shd w:fill="FFFFFF" w:val="clear"/>
            <w:vAlign w:val="center"/>
          </w:tcPr>
          <w:p>
            <w:pPr>
              <w:pStyle w:val="TableContents"/>
              <w:bidi w:val="0"/>
              <w:spacing w:before="0" w:after="283"/>
              <w:jc w:val="center"/>
              <w:rPr/>
            </w:pPr>
            <w:r>
              <w:rPr/>
              <w:t>25</w:t>
            </w:r>
          </w:p>
        </w:tc>
      </w:tr>
      <w:tr>
        <w:trPr/>
        <w:tc>
          <w:tcPr>
            <w:tcW w:w="8165" w:type="dxa"/>
            <w:tcBorders/>
            <w:shd w:fill="CCEEFF" w:val="clear"/>
            <w:vAlign w:val="center"/>
          </w:tcPr>
          <w:p>
            <w:pPr>
              <w:pStyle w:val="TableContents"/>
              <w:bidi w:val="0"/>
              <w:spacing w:before="0" w:after="283"/>
              <w:jc w:val="left"/>
              <w:rPr/>
            </w:pPr>
            <w:hyperlink w:anchor="b_013">
              <w:r>
                <w:rPr>
                  <w:rStyle w:val="InternetLink"/>
                </w:rPr>
                <w:t>LEGAL MATTERS</w:t>
              </w:r>
            </w:hyperlink>
          </w:p>
        </w:tc>
        <w:tc>
          <w:tcPr>
            <w:tcW w:w="530" w:type="dxa"/>
            <w:tcBorders/>
            <w:shd w:fill="CCEEFF" w:val="clear"/>
            <w:vAlign w:val="center"/>
          </w:tcPr>
          <w:p>
            <w:pPr>
              <w:pStyle w:val="TableContents"/>
              <w:bidi w:val="0"/>
              <w:spacing w:before="0" w:after="283"/>
              <w:jc w:val="center"/>
              <w:rPr/>
            </w:pPr>
            <w:r>
              <w:rPr/>
              <w:t>27</w:t>
            </w:r>
          </w:p>
        </w:tc>
      </w:tr>
      <w:tr>
        <w:trPr/>
        <w:tc>
          <w:tcPr>
            <w:tcW w:w="8165" w:type="dxa"/>
            <w:tcBorders/>
            <w:shd w:fill="FFFFFF" w:val="clear"/>
            <w:vAlign w:val="center"/>
          </w:tcPr>
          <w:p>
            <w:pPr>
              <w:pStyle w:val="TableContents"/>
              <w:bidi w:val="0"/>
              <w:spacing w:before="0" w:after="283"/>
              <w:jc w:val="left"/>
              <w:rPr/>
            </w:pPr>
            <w:hyperlink w:anchor="b_014">
              <w:r>
                <w:rPr>
                  <w:rStyle w:val="InternetLink"/>
                </w:rPr>
                <w:t>EXPERTS</w:t>
              </w:r>
            </w:hyperlink>
          </w:p>
        </w:tc>
        <w:tc>
          <w:tcPr>
            <w:tcW w:w="530" w:type="dxa"/>
            <w:tcBorders/>
            <w:shd w:fill="FFFFFF" w:val="clear"/>
            <w:vAlign w:val="center"/>
          </w:tcPr>
          <w:p>
            <w:pPr>
              <w:pStyle w:val="TableContents"/>
              <w:bidi w:val="0"/>
              <w:spacing w:before="0" w:after="283"/>
              <w:jc w:val="center"/>
              <w:rPr/>
            </w:pPr>
            <w:r>
              <w:rPr/>
              <w:t>28</w:t>
            </w:r>
          </w:p>
        </w:tc>
      </w:tr>
      <w:tr>
        <w:trPr/>
        <w:tc>
          <w:tcPr>
            <w:tcW w:w="8165" w:type="dxa"/>
            <w:tcBorders/>
            <w:shd w:fill="CCEEFF" w:val="clear"/>
            <w:vAlign w:val="center"/>
          </w:tcPr>
          <w:p>
            <w:pPr>
              <w:pStyle w:val="TableContents"/>
              <w:bidi w:val="0"/>
              <w:spacing w:before="0" w:after="283"/>
              <w:jc w:val="left"/>
              <w:rPr/>
            </w:pPr>
            <w:hyperlink w:anchor="b_015">
              <w:r>
                <w:rPr>
                  <w:rStyle w:val="InternetLink"/>
                </w:rPr>
                <w:t>WHERE YOU CAN FIND MORE INFORMATION</w:t>
              </w:r>
            </w:hyperlink>
          </w:p>
        </w:tc>
        <w:tc>
          <w:tcPr>
            <w:tcW w:w="530" w:type="dxa"/>
            <w:tcBorders/>
            <w:shd w:fill="CCEEFF" w:val="clear"/>
            <w:vAlign w:val="center"/>
          </w:tcPr>
          <w:p>
            <w:pPr>
              <w:pStyle w:val="TableContents"/>
              <w:bidi w:val="0"/>
              <w:spacing w:before="0" w:after="283"/>
              <w:jc w:val="center"/>
              <w:rPr/>
            </w:pPr>
            <w:r>
              <w:rPr/>
              <w:t>29</w:t>
            </w:r>
          </w:p>
        </w:tc>
      </w:tr>
      <w:tr>
        <w:trPr/>
        <w:tc>
          <w:tcPr>
            <w:tcW w:w="8165" w:type="dxa"/>
            <w:tcBorders/>
            <w:shd w:fill="FFFFFF" w:val="clear"/>
            <w:vAlign w:val="center"/>
          </w:tcPr>
          <w:p>
            <w:pPr>
              <w:pStyle w:val="TableContents"/>
              <w:bidi w:val="0"/>
              <w:spacing w:before="0" w:after="283"/>
              <w:jc w:val="left"/>
              <w:rPr/>
            </w:pPr>
            <w:hyperlink w:anchor="b_016">
              <w:r>
                <w:rPr>
                  <w:rStyle w:val="InternetLink"/>
                </w:rPr>
                <w:t>INCORPORATION OF CERTAIN DOCUMENTS BY REFERENCE</w:t>
              </w:r>
            </w:hyperlink>
          </w:p>
        </w:tc>
        <w:tc>
          <w:tcPr>
            <w:tcW w:w="530" w:type="dxa"/>
            <w:tcBorders/>
            <w:shd w:fill="FFFFFF" w:val="clear"/>
            <w:vAlign w:val="center"/>
          </w:tcPr>
          <w:p>
            <w:pPr>
              <w:pStyle w:val="TableContents"/>
              <w:bidi w:val="0"/>
              <w:spacing w:before="0" w:after="283"/>
              <w:jc w:val="center"/>
              <w:rPr/>
            </w:pPr>
            <w:r>
              <w:rPr/>
              <w:t>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and incorporated by reference in this base prospectus, in any accompanying prospectus supplement,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base prospectus are unlawful, or if you are a person to whom it is unlawful to direct these types of activities, then the offer presented in this base prospectus does not extend to you. The information contained in this base prospectus speaks only as of the date of this base prospectus, unless the information specifically indicates that another date applies. Neither the delivery of this base prospectus nor any accompanying prospectus supplement, nor any sale of securities made under these documents, will, under any circumstances, create any implication that there has been no change in our affairs since the date of this base prospectus, any accompanying prospectus supplement or any free writing prospectus we may provide you in connection with an offering or that the information contained or incorporated by reference is correct as of any time subsequent to the date of such information. You should assume that the information in this base prospectus or any accompanying prospectus supplement, as well as the information incorporated by reference in this base prospectus or any accompanying prospectus supplement, is accurate only as of the date of the documents containing the information, unless the information specifically indicates that another date applies. Our business, financial condition, results of operations and prospects may have changed since those 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b_001"/>
      <w:bookmarkEnd w:id="15"/>
      <w:r>
        <w:rPr>
          <w:rFonts w:ascii="Times New Roman;Times;Serif" w:hAnsi="Times New Roman;Times;Serif"/>
          <w:b/>
          <w:i w:val="false"/>
          <w:caps/>
          <w:sz w:val="20"/>
        </w:rPr>
        <w:t>ABOUT THIS BASE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is part of a registration statement that we filed with the U.S. Securities and Exchange Commission (the “SEC”) using a “shelf” registration process. Under this shelf registration process, we may, from time to time, issue and sell to the public any part of the securities described in this base prospectus in one or more offerings up to a total dollar amount of $300,000,000.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provides you with a general description of the securities we may offer. Each time we sell a type or series of securities under this base prospectus, we will provide a prospectus supplement containing specific information about the terms of that offering. We may also authorize one or more free writing prospectuses to be provided to you that may contain material information relating to these offerings and securities. The prospectus supplement and any free writing prospectus may also add, update or change information in this base prospectus or in documents incorporated by reference in this base prospectus. To the extent that any statement that we make in a prospectus supplement is inconsistent with statements made in this base prospectus or in documents incorporated by reference in this base prospectus, the statements made or incorporated by reference in this base prospectus will be deemed modified or superseded by those made in the prospectus supplement. We urge you to carefully read this base prospectus, any applicable prospectus supplement and any related free writing prospectus, together with the information incorporated herein by reference as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before buying any of the securities being offered.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containing this base prospectus, including exhibits to the registration statement, provides additional information about us and the securities offered under this base prospectus. The registration statement can be read at the SEC’s website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base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base prospectus, the applicable prospectus supplement and any applicable free writing prospectus, and under similar headings in other documents that are incorporated by reference into this base prospectus. Accordingly, investors should not place undue reliance on this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various U.S. federal trademark registrations and applications and unregistered trademarks, including our corporate logo. This base prospectus and the information incorporated herein by reference contain references to trademarks, service marks and trade names owned by us or other companies. Solely for convenience, trademarks, service marks and trade names referred to in this base prospectus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base prospectus, any applicable prospectus supplement or any related free writing prospectus are the property of their respective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16" w:name="b_002"/>
      <w:bookmarkEnd w:id="16"/>
      <w:r>
        <w:rPr>
          <w:rFonts w:ascii="Times New Roman;Times;Serif" w:hAnsi="Times New Roman;Times;Serif"/>
          <w:b/>
          <w:i w:val="false"/>
          <w:caps/>
          <w:sz w:val="20"/>
          <w:bdr w:val="single" w:sz="12" w:space="5" w:color="000000"/>
        </w:rPr>
        <w:t>PROSPECTUS SUMMARY</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about us and our business contained elsewhere in this base prospectus or incorporated herein by reference. This summary does not contain all of the information that may be important to you and your investment decision. Therefore, before making your investment decision, you should carefully read this base prospectus, including any applicable prospectus supplements and any applicable free writing prospectus, together with the additional information described under the headings “Where You Can Find More Information” and “Incorporation of Certain Documents by Reference.” 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material business activities and operations of Serve Robotics Inc.</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About Serve Robotics Inc.</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engaged in developing technologies intended to enable sustainable, autonomous robotic solutions for public and commercial spaces. Our activities include the design, engineering, deployment, and operation of low-emission robotic systems built on our proprietary AI-enabled mobility platform. Our systems are designed to operate safely and efficiently in real world environments. While food delivery remains our primary commercial application, we are expanding our platform into adjacent markets, customer segments, and operating environments where autonomous mobility can address labor constraints, improve service levels, and reduce emissions. We intend to leverage our core autonomy stack, fleet management infrastructure, and operational expertise to support additional use cases across both outdoor and indoor settings. Our core technology originated in 2017 as a specialized project within Postmates Inc. (“Postmates”), an on-demand food delivery company in the United States. Following the acquisition of Postmates by Uber Technologies, Inc. (“Uber”) in 2020, Uber’s leadership team approved the contribution of the intellectual property and related assets associated with this project to our company in February 2021.</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December 31, 2025, Serve’s fleet consisted of over 2,000 sidewalk delivery robots. We maintain platform-level integrations with food delivery platforms, such as Uber Eats and DoorDash, which means Serve robots can provide real-time presence and status updates on those platforms and receive requests to perform deliveries with respect to customer orders placed on those platforms as needed.</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Because Serve started within a food delivery company, our team comes with a depth of expertise in food delivery. Additionally, the engineering team has extensive experience in AI, automation and robotics. Our leadership team includes veterans from Uber, Instacart,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Based on our proprietary historical delivery data, approximately half of all delivery distances in the United States are less than 2.5 miles and well-suited to delivery by sidewalk robots. We provide a robotic delivery experience that delights customers, improves reliability for merchants and reduces traffic congestion and vehicle emissions. Moreover, at scale we expect our robots will complete deliveries at lower cost than human couriers, making on-demand delivery more affordable and accessible in the areas in which we operate. By eliminating unnecessary car traffic, and by reducing the cost of last-mile transportation, Serve aims to reshape cities into sustainable, safe, and people-friendly environments, with thriving local economies.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January 2026, we completed the acquisition of Diligent Robotics, Inc. (“Diligent”), a provider of AI-powered autonomous robot assistants for the healthcare industry. This acquisition extends our autonomy platform into indoor environments, initially into hospitals, and broadens our addressable market into healthcare and other commercial sectors. We expect to leverage Diligent’s technology alongside our existing platform to enhance product capabilities, accelerate deployment opportunities, and support scalable, recurring revenue growth through Diligent’s established commercial relationships with healthcare systems and institutions.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Additional details of our programs are contained in our Annual Report on Form 10-K for the fiscal year ended December 31, 2025 and our Quarterly Reports on Form 10-Q filed for subsequent fiscal periods.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Corporate Information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Delaware corporation. Serve Operating Co. is our direct, wholly-owned subsidiary and holds all material assets and conducts all material business activities and operations of Serve Robotics Inc.</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principal executive offices are located at 730 Broadway, Redwood City, California 94063. Our telephone number is (818) 860-1352. Our website address is </w:t>
      </w:r>
      <w:r>
        <w:rPr>
          <w:rFonts w:ascii="Times New Roman;Times;Serif" w:hAnsi="Times New Roman;Times;Serif"/>
          <w:b w:val="false"/>
          <w:i/>
          <w:caps w:val="false"/>
          <w:smallCaps w:val="false"/>
          <w:sz w:val="20"/>
          <w:bdr w:val="single" w:sz="12" w:space="5" w:color="000000"/>
        </w:rPr>
        <w:t>www.serverobotics.com</w:t>
      </w:r>
      <w:r>
        <w:rPr>
          <w:rFonts w:ascii="Times New Roman;Times;Serif" w:hAnsi="Times New Roman;Times;Serif"/>
          <w:b w:val="false"/>
          <w:i w:val="false"/>
          <w:caps w:val="false"/>
          <w:smallCaps w:val="false"/>
          <w:sz w:val="20"/>
          <w:bdr w:val="single" w:sz="12" w:space="5" w:color="000000"/>
        </w:rPr>
        <w:t>. Information contained on, or that can be accessed through, our website is not a part of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Securities We May Offer</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offer shares of common stock, shares of preferred stock, debt securities, warrants or rights, either individually or in units, with a total value of up to $300,000,000 from time to time under this base prospectus at prices and on terms to be determined by market conditions at the time of the offering. Our common stock is currently listed on The Nasdaq Capital Market under the symbol “SERV.” Shares of common stock that may be offered in this offering will, when issued and paid for, be fully paid and non-assessable.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refer to our common stock, preferred stock, debt securities, warrants, rights and units in this base prospectus as “securities.” This base prospectus provides you with a general description of the securities we may offer. Each time we offer a type or series of securities, we will provide a prospectus supplement that will describe the specific amounts, prices and other important terms of the securities, as described below under “Plan of Distribution.”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Use of Proceeds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will retain broad discretion over the use of the net proceeds to us from the sale of our securities under this base prospectus. Unless otherwise indicated in one or more prospectus supplements to this base prospectus, we anticipate the net proceeds from the sale of securities offered by this base prospectus and any applicable prospectus supplement or free writing prospectus, and from the exercise of any convertible securities, if any, will be used for general corporate purposes; however, we do not currently have any specific uses of the net proceeds planned.</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Implications of Being an Emerging Growth Company and a Smaller Reporting Company</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an “emerging growth company” as defined in the Jumpstart Our Business Startups Act of 2012, as amended (the “JOBS Act”). An “emerging growth company” and a “smaller reporting company” may take advantage of reduced reporting requirements that are otherwise applicable to public companies. These provisions include, but are not limited to:</w:t>
      </w:r>
    </w:p>
    <w:p>
      <w:pPr>
        <w:pStyle w:val="TextBody"/>
        <w:bidi w:val="0"/>
        <w:spacing w:before="0" w:after="0"/>
        <w:ind w:left="1440" w:right="0" w:hanging="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being permitted to present only two years of audited financial statements and only two years of related “Management’s Discussion and Analysis of Financial Condition and Results of Operations” disclosure in our periodic reports and registration statements;</w:t>
            </w:r>
          </w:p>
        </w:tc>
      </w:tr>
    </w:tbl>
    <w:p>
      <w:pPr>
        <w:pStyle w:val="TextBody"/>
        <w:bidi w:val="0"/>
        <w:spacing w:before="0" w:after="0"/>
        <w:ind w:left="1440" w:right="0" w:hanging="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 being required to comply with the auditor attestation requirements of Section 404 of the Sarbanes-Oxley Act, as amended (the “Sarbanes-Oxley Act”), on the effectiveness of our internal controls over financial reporting;</w:t>
            </w:r>
          </w:p>
        </w:tc>
      </w:tr>
    </w:tbl>
    <w:p>
      <w:pPr>
        <w:pStyle w:val="TextBody"/>
        <w:bidi w:val="0"/>
        <w:spacing w:before="0" w:after="0"/>
        <w:ind w:left="1440" w:right="0" w:hanging="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reduced disclosure obligations regarding executive compensation arrangements in our periodic reports, proxy statements and registration statements; and</w:t>
            </w:r>
          </w:p>
        </w:tc>
      </w:tr>
    </w:tbl>
    <w:p>
      <w:pPr>
        <w:pStyle w:val="TextBody"/>
        <w:bidi w:val="0"/>
        <w:spacing w:before="0" w:after="0"/>
        <w:ind w:left="1440" w:right="0" w:hanging="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exemptions from the requirements of holding a nonbinding advisory vote on executive compensation and stockholder approval of any golden parachute payments not previously approved.</w:t>
            </w:r>
          </w:p>
        </w:tc>
      </w:tr>
    </w:tbl>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use these provisions until December 31, 2028, which is the last day of the fiscal year following the fifth anniversary of the first sale of our common stock pursuant to an effective registration statement in 2023.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b_003"/>
      <w:bookmarkEnd w:id="17"/>
      <w:r>
        <w:rPr>
          <w:rFonts w:ascii="Times New Roman;Times;Serif" w:hAnsi="Times New Roman;Times;Serif"/>
          <w:b/>
          <w:i w:val="false"/>
          <w:caps/>
          <w:sz w:val="20"/>
        </w:rPr>
        <w:t>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you invest in our securities, in addition to the other information, documents or reports incorporated by reference in this base prospectus and any prospectus supplement or other offering materials, you should carefully consider the risk factors in this section,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any prospectus supplement as well as our most recent Annual Report on Form 10-K, and in our Quarterly Reports on Form 10-Q filed subsequent to such Annual Report on Form 10-K, which are incorporated by reference into this base prospectus and any prospectus supplement in their entirety, as the same may be amended, supplemented or superseded from time to time by other reports we file with the SEC in the future. Each of the risks described in these sections and documents could materially and adversely affect our business, financial condition, results of operations and prospects, and could result in a partial or complete loss of your investment. The risks and uncertainties we have described are not the only ones we face. Additional risks and uncertainties not presently known to us or that we currently deem immaterial may also affect our operations.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b_004"/>
      <w:bookmarkEnd w:id="18"/>
      <w:r>
        <w:rPr>
          <w:rFonts w:ascii="Times New Roman;Times;Serif" w:hAnsi="Times New Roman;Times;Serif"/>
          <w:b/>
          <w:i w:val="false"/>
          <w:caps/>
          <w:sz w:val="20"/>
        </w:rPr>
        <w:t>CAUTIONARY NOTE REGARDING FORWARD-LOOKING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each prospectus supplement and the information incorporated by reference in this base prospectus and each prospectus supplement contain certain statements that constitute “forward-looking statements” within the meaning of Section 27A of the Securities Act and Section 21E of the Securities Exchange Act of 1934, as amended (the “Exchange Act”). All statements, other than statements of historical facts, included or incorporated in this base prospectus regarding our strategy, future operations, financial position, future revenues, projected costs, projected timelines, prospects, plans and objectives of management are forward-looking statements. We may, in some cases, use words such as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should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could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potentially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possibility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intend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will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and similar expressions and variations thereof, which are intended to identify forward-looking statements, but are not the exclusive means of identifying such statements. Those statements appear in this base prospectus, any accompanying prospectus supplement and the documents incorporated herein and therein by reference, particularly in the sections entitled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and include statements regarding the intent, belief or current expectations of the company and management that are subject to known and unknown risks, uncertainties and assumptions.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any prospectus supplement and the information incorporated by reference in this base prospectus and any prospectus supplement also contain statements that are based on the current expectations of the Company and its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developments and business decisions may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base prospectus, whether as a result of any new information, future events or otherwise. You should also carefully consider other information set forth in reports or other documents that we file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b_005"/>
      <w:bookmarkEnd w:id="19"/>
      <w:r>
        <w:rPr>
          <w:rFonts w:ascii="Times New Roman;Times;Serif" w:hAnsi="Times New Roman;Times;Serif"/>
          <w:b/>
          <w:i w:val="false"/>
          <w:caps/>
          <w:sz w:val="20"/>
        </w:rPr>
        <w:t>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one or more supplements to this base prospectus, we anticipate the net proceeds from the sale of securities offered by this base prospectus and any applicable prospectus supplement or free writing prospectus, and from the exercise of any convertible securities, if any, will be used for general corporate purposes, which may include research and development activities, capital expenditures, selling, general and administrative costs, facilities expansion, and working capital needs. We expect from time to time to evaluate the acquisition of businesses, products and technologies for which a portion of the net proceeds may be used, although we currently are not planning or negotiating any such transactions. Pending such uses, we may invest the net proceeds in investment-grade interest-bearing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actually expended for each purpose may vary significantly depending upon numerous factors, including the amount and timing of the proceeds from this offering and progress with the commercial development of our products and our technology programs. Expenditures will also depend upon the establishment of collaborative arrangements with other companies, the availability of additional financing and other factors. As a result, unless otherwise indicated in a prospectus supplement, our management will have broad discretion to allocate the net proceeds we receive from the sale of the securities offered by this base prospectus, and from the exercise price from the exercise of any convertible securities, if any, and investors will be relying on the judgment of our management regarding the application of the net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b_006"/>
      <w:bookmarkEnd w:id="20"/>
      <w:r>
        <w:rPr>
          <w:rFonts w:ascii="Times New Roman;Times;Serif" w:hAnsi="Times New Roman;Times;Serif"/>
          <w:b/>
          <w:i w:val="false"/>
          <w:caps/>
          <w:sz w:val="20"/>
        </w:rPr>
        <w:t>DESCRIPTION OF 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capital stock consisting of 300,000,000 shares of common stock, par value $0.0001 per share, and 10,000,000 shares of preferred stock, par value $0.0001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76,057,229 shares of common stock outstanding, and no shares of preferred stock issued and outstanding. Unless stated otherwise, the following discussion summarizes the term and provisions of our amended and restated certificate of incorporation and our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or Similar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redemption or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to Receive Liquidation Distributions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for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The transfer agent’s address is 150 Royall Street, Suite 101 NY 02021, and its telephone number is 1-800-982-7652.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b_007"/>
      <w:bookmarkEnd w:id="21"/>
      <w:r>
        <w:rPr>
          <w:rFonts w:ascii="Times New Roman;Times;Serif" w:hAnsi="Times New Roman;Times;Serif"/>
          <w:b/>
          <w:i w:val="false"/>
          <w:caps/>
          <w:sz w:val="20"/>
        </w:rPr>
        <w:t>ADDITIONAL INFORMATION CONCERNING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Delaware General Corporation Law (the “DGCL”), our amended and restated certificate of incorporation, and our amended and restated bylaws could have the effect of delaying, deferring or discouraging another person from acquiring control of our Company by means of a tender offer, a proxy contest or otherwise, or from removing incumbent officers and directors. These provisions, which are summarized below, are expected to discourage certain types of coercive takeover practices and inadequate takeover bids and to encourage persons seeking to acquire control of our Company to first negotiate with our board of directors. We believe that the benefits of increased protection of our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of the DGCL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before the stockholder became interested, our board of directors approved either the business combination or the transaction which resulted in the stockholder becoming an interested stockholder;</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tc>
      </w:tr>
    </w:tbl>
    <w:p>
      <w:pPr>
        <w:pStyle w:val="TextBody"/>
        <w:bidi w:val="0"/>
        <w:spacing w:before="0" w:after="0"/>
        <w:ind w:left="1440" w:right="0" w:hanging="72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merger or consolidation involving the corporation and the interested stockholder;</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sale, transfer, lease, pledge, or other disposition involving the interested stockholder of 10% or more of the assets of the corporation;</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subject to exceptions, any transaction that results in the issuance or transfer by the corporation of any stock of the corporation to the interested stockholder;</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 and Amended and Restated Bylaw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Board Vacancies</w:t>
            </w:r>
            <w:r>
              <w:rPr>
                <w:rFonts w:ascii="Times New Roman;Times;Serif" w:hAnsi="Times New Roman;Times;Serif"/>
              </w:rPr>
              <w:t>. Our amended and restated bylaws and certificate of incorporation provide, subject to the special rights of the holders of any series of preferred stock to 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Classified Board</w:t>
            </w:r>
            <w:r>
              <w:rPr>
                <w:rFonts w:ascii="Times New Roman;Times;Serif" w:hAnsi="Times New Roman;Times;Serif"/>
              </w:rPr>
              <w:t>. Our amended and restated certificate of incorporation and amended and restated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w:t>
            </w:r>
            <w:r>
              <w:rPr>
                <w:rFonts w:ascii="Times New Roman;Times;Serif" w:hAnsi="Times New Roman;Times;Serif"/>
                <w:i/>
              </w:rPr>
              <w:t>Classified Board of Directors</w:t>
            </w:r>
            <w:r>
              <w:rPr>
                <w:rFonts w:ascii="Times New Roman;Times;Serif" w:hAnsi="Times New Roman;Times;Serif"/>
              </w:rPr>
              <w:t>” for additional information.</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Directors Removed Only for Cause</w:t>
            </w:r>
            <w:r>
              <w:rPr>
                <w:rFonts w:ascii="Times New Roman;Times;Serif" w:hAnsi="Times New Roman;Times;Serif"/>
              </w:rPr>
              <w:t>. Our amended and restated certificate of incorporation provide that stockholders may remove directors only for cause and only by the affirmative vote of the holders of at least two-thirds (2/3) of the voting power of the then-outstanding shares of our capital stock entitled to vote generally in the election of directors, voting together as a single class.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Supermajority Requirements for Amendments of Our Amended and Restated Certificate of Incorporation and Amended and Restated Bylaws</w:t>
            </w:r>
            <w:r>
              <w:rPr>
                <w:rFonts w:ascii="Times New Roman;Times;Serif" w:hAnsi="Times New Roman;Times;Serif"/>
              </w:rPr>
              <w:t>. Our amended and restated certificate of incorporation further provides that the affirmative vote of holders of at least 66 2/3% of our capital 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provided, however, that if two-thirds (2/3) of the total number of authorized directors whether or not there exist any vacancies in previously authorized directorships (the “Whole Board”) has approved such amendment or repeal of, or any provision inconsistent with, such provisions, then only the affirmative vote of the holders of at least a majority of the voting power of all of the then-outstanding shares of our capital stock entitled to vote generally in the election of directors, voting together as a single class, shall be required to amend, repeal, or adopt any provision inconsistent with, such provisions. The affirmative vote of holders of at least 66 2/3% of our capital stock entitled to vote generally in the election of directors, voting together as a single class, is required to amend or repeal any provision of our amended and restated bylaws, although our amended and restated bylaws may be amended by the approval of a majority of the Whole Board; provided, however, that if two-thirds (2/3) of the Whole Board has approved such amendment or repeal of any provision of our our amended and restated bylaws, then only the affirmative vote of the holders of at least a majority of the voting power of all of the then-outstanding shares of our capital stock entitled to vote generally in the election of directors, voting together as a single class, shall be required to amend or repeal any provision of our amended and restated bylaws.</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72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Securityholder Action; Special Meetings of Stockholders</w:t>
            </w:r>
            <w:r>
              <w:rPr>
                <w:rFonts w:ascii="Times New Roman;Times;Serif" w:hAnsi="Times New Roman;Times;Serif"/>
              </w:rPr>
              <w:t>. Our amended and restated certificate of incorporation provides that our stockholders 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Advance Notice Requirements for Securityholder Proposals and Director Nominations</w:t>
            </w:r>
            <w:r>
              <w:rPr>
                <w:rFonts w:ascii="Times New Roman;Times;Serif" w:hAnsi="Times New Roman;Times;Serif"/>
              </w:rPr>
              <w:t>. 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No Cumulative Voting</w:t>
            </w:r>
            <w:r>
              <w:rPr>
                <w:rFonts w:ascii="Times New Roman;Times;Serif" w:hAnsi="Times New Roman;Times;Serif"/>
              </w:rPr>
              <w:t>. The DGCL provides that stockholders are not entitled to the right to cumulate votes in the election of directors unless a corporation’s certificate of incorporation provides otherwise. Our amended and restated certificate of incorporation and amended and restated bylaws do not provide for cumulative voting.</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Issuance of Undesignated Preferred Stock</w:t>
            </w:r>
            <w:r>
              <w:rPr>
                <w:rFonts w:ascii="Times New Roman;Times;Serif" w:hAnsi="Times New Roman;Times;Serif"/>
              </w:rPr>
              <w:t>. Our amended and restated certificate of incorporation provides that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Choice of Forum</w:t>
            </w:r>
            <w:r>
              <w:rPr>
                <w:rFonts w:ascii="Times New Roman;Times;Serif" w:hAnsi="Times New Roman;Times;Serif"/>
              </w:rPr>
              <w:t>. Our amended and restated certificate of incorporation provides that, unless we consent in writing to the selection of an alternative forum 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or any action asserting a claim for aiding and abetting any such breach of fiduciary duty;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shares of our capital stock shall be deemed to have notice of and consented to the forum selection provisions in the amended and restated certificate of incorporation.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2" w:name="b_008"/>
      <w:bookmarkEnd w:id="22"/>
      <w:r>
        <w:rPr>
          <w:rFonts w:ascii="Times New Roman;Times;Serif" w:hAnsi="Times New Roman;Times;Serif"/>
          <w:b/>
          <w:i w:val="false"/>
          <w:caps/>
          <w:sz w:val="20"/>
        </w:rPr>
        <w:t>DESCRIPTION OF DEBT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base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under one or more separate indentures that we will enter into with the trustee named in the indenture. The indenture will be qualified under the Trust Indenture Act of 1939, as amended (the “Trust Indenture Act”). We have filed a form of indenture under which debt securities may be issued from time to time as an exhibit to the registration statement of which this base prospectus is a part, and supplemental indentures and forms of debt securities containing the terms of the debt securities being offered will be filed as exhibits to the registration statement of which this base prospectus is a part or will be incorporated by reference from reports that we file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base prospectus, as well as the complete indenture that contains the terms of the debt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represent unsecured general obligations of the Company, unless otherwise provided in the applicable offering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we may issue. It provides that we may issue debt securities up to the principal amount that we may authorize and may be in any currency or currency unit that we may designate. The prospectus supplement, documents incorporated by reference, or free writing prospectus with respect to any debt securities will set forth the following terms of the debt securities offered pursuant thereto as applicable:</w:t>
      </w:r>
    </w:p>
    <w:p>
      <w:pPr>
        <w:pStyle w:val="TextBody"/>
        <w:bidi w:val="0"/>
        <w:spacing w:before="0" w:after="0"/>
        <w:ind w:left="1440" w:right="0" w:hanging="72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title and series of such debt securities;</w:t>
            </w:r>
          </w:p>
        </w:tc>
      </w:tr>
    </w:tbl>
    <w:p>
      <w:pPr>
        <w:pStyle w:val="TextBody"/>
        <w:bidi w:val="0"/>
        <w:spacing w:before="0" w:after="0"/>
        <w:ind w:left="1440" w:right="0" w:hanging="72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17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principal amount being offered;</w:t>
            </w:r>
          </w:p>
        </w:tc>
      </w:tr>
    </w:tbl>
    <w:p>
      <w:pPr>
        <w:pStyle w:val="TextBody"/>
        <w:bidi w:val="0"/>
        <w:spacing w:before="0" w:after="0"/>
        <w:ind w:left="1440" w:right="0" w:hanging="72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total amount authorized and the total amount outstanding as of the most recent practicable date;</w:t>
            </w:r>
          </w:p>
        </w:tc>
      </w:tr>
    </w:tbl>
    <w:p>
      <w:pPr>
        <w:pStyle w:val="TextBody"/>
        <w:bidi w:val="0"/>
        <w:spacing w:before="0" w:after="0"/>
        <w:ind w:left="1440" w:right="0" w:hanging="72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limit upon the aggregate principal amount of such debt securities of such series;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such debt securities will be in global or other form; the date or dates and method or methods by which principal and any premium on such debt securities is payable;</w:t>
            </w:r>
          </w:p>
        </w:tc>
      </w:tr>
    </w:tbl>
    <w:p>
      <w:pPr>
        <w:pStyle w:val="TextBody"/>
        <w:bidi w:val="0"/>
        <w:spacing w:before="0" w:after="0"/>
        <w:ind w:left="1440" w:right="0" w:hanging="72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interest rate or rates (or method by which such rate will be determined), if any;</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dates on which any such interest will start accruing, become payable, record dates for interest payments and the method of payment;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and under what circumstances any additional amounts are payable with respect to such debt securities;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notice, if any, to holders of such debt securities regarding the determination of interest on a floating rate debt security;</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72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basis upon which interest on such debt securities shall be calculated, if other than that of a 360 day year of twelve 30-day months;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place or places where the principal of and interest or additional amounts, if any, on such debt securities will be payable;</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redemption or sinking fund provisions, or the terms of any repurchase at the option of the holder of the debt securities; the denominations of such debt securities, if other than $1,000 and integral multiples thereof;</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rights of the holders of such debt securities to convert the debt securities into and/or exchange the debt securities for, other securities, cash or other property;</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terms, if any, on which payment of principal or any premium, interest or additional amounts on such debt securities will be payable in a currency other than U.S. dollars;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terms, if any, by which the amount of payments of principal or any premium, interest or additional amounts on such debt securities may be determined by reference to an index, formula, financial or economic measure or other methods;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other than the principal amount thereof, the portion of the principal amount of such debt securities that will be payable upon declaration of acceleration of the maturity thereof or the method by which such portion is to be determined;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events of default or covenants in addition to or in lieu of those described herein and remedies therefor;</w:t>
            </w:r>
          </w:p>
        </w:tc>
      </w:tr>
    </w:tbl>
    <w:p>
      <w:pPr>
        <w:pStyle w:val="TextBody"/>
        <w:bidi w:val="0"/>
        <w:spacing w:before="0" w:after="0"/>
        <w:ind w:left="1440" w:right="0" w:hanging="72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such debt securities will be subject to defeasance or covenant defeasance;</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terms, if any, upon which such debt securities are to be issuable upon the exercise of warrants, units or rights;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any trustees and any authenticating or paying agents or registrars or depositaries or any other agents with respect to such debt securities; whether the debt securities rank as senior debt, senior subordinated debt, subordinated debt or any combination thereof, and the terms of any subordination;</w:t>
            </w:r>
          </w:p>
        </w:tc>
      </w:tr>
    </w:tbl>
    <w:p>
      <w:pPr>
        <w:pStyle w:val="TextBody"/>
        <w:bidi w:val="0"/>
        <w:spacing w:before="0" w:after="0"/>
        <w:ind w:left="1440" w:right="0" w:hanging="72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such debt securities will be guaranteed and the terms thereof;</w:t>
            </w:r>
          </w:p>
        </w:tc>
      </w:tr>
    </w:tbl>
    <w:p>
      <w:pPr>
        <w:pStyle w:val="TextBody"/>
        <w:bidi w:val="0"/>
        <w:spacing w:before="0" w:after="0"/>
        <w:ind w:left="1440" w:right="0" w:hanging="72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whether such debt securities will be secured by collateral and the terms of such security;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other specific terms of such debt securities and any other deletions from or additions to or modifications of the indenture with respect to such debt securities.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presented for exchange, conversion or transfer in the manner, at the places and subject to the restrictions set forth in the debt securities and the applicable offering material. Such services will be provided without charge, other than any tax or other governmental charge payable in connection therewith, but subject to the limitations provided in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contain any covenant or other specific provision affording protection to holders of the debt securities in the event of a highly leveraged transaction or a change in control of the Company, except to the limited extent described below under “- Consolidation, Merger and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supplements to the indenture may be made by the Company and the trustee for the purpose of adding any provisions to or changing in any manner or eliminating any of the provisions of the indenture or of modifying in any manner the rights of the holders of debt securities of a series under the indenture or the debt securities of such series, with the consent of the holders of a majority (or such greater amount as is provided for a particular series of debt securities) in principal amount of the outstanding debt securities issued under such indenture that are affected by the supplemental indenture, voting as a single class; provided that no such supplemental indenture may, without the consent of the holder of each such debt security affected thereby, among other things:</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left"/>
              <w:rPr/>
            </w:pPr>
            <w:r>
              <w:rPr/>
              <w:t>change the stated maturity of the principal of, or any premium, interest or additional amounts on, such debt securities, or reduce the principal amount thereof, or reduce the rate or extend the time of payment of interest or any additional amounts thereon, or reduce any premium payable upon the redemption thereof or otherwise, or change the obligation to pay additional amounts pursuant to the indenture, or reduce the amount of the principal of debt securities issued with original issue discount that would be due and payable upon an acceleration of the maturity thereof or the amount thereof provable in bankruptcy, or change the redemption provisions or adversely affect the right of repayment at the option of the holder, or change the place of payment or currency in which the principal of, or any premium, interest or additional amounts with respect to any debt security is payable, or impair the right of any holder of debt securities to institute suit for the payment after such payment is due (or, in the case of redemption, on or after such redemption date or, in the case of repayment at the option of the holder, on or after such payment is due);</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left"/>
              <w:rPr/>
            </w:pPr>
            <w:r>
              <w:rPr/>
              <w:t>reduce the percentage in principal amount of outstanding debt securities of any series, the consent of the holders of which is required for any such supplemental indenture, or the consent of whose holders is required for any waiver provided for in the indenture, or reduce the requirements for quorum or voting;</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left"/>
              <w:rPr/>
            </w:pPr>
            <w:r>
              <w:rPr/>
              <w:t>modify any of the provisions of the sections of such indenture relating to supplemental indentures with the consent of the holders, waivers of past or existing defaults or waivers of certain covenants, except to increase any such percentage or to provide that certain other provisions of such indenture cannot be modified or waived without the consent of each holder affected thereby; or</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left"/>
              <w:rPr/>
            </w:pPr>
            <w:r>
              <w:rPr/>
              <w:t>make any change that adversely affects the right to convert or exchange any security into or for common stock or other securities, cash or other property in accordance with the terms of the applicable debt security.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a supplemental indenture that changes or eliminates any covenant or other provision of the indenture that has expressly been included solely for the benefit of one or more particular series of debt securities, or that modifies the rights of the holders of such series with respect to such covenant or other provision, shall be deemed not to affect the rights under the indenture of the holders of debt securities of any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Company and the trustee may, without the consent of the holders of any series of debt securities issued thereunder, enter into additional supplemental indentures for one of the following purposes:</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left"/>
              <w:rPr/>
            </w:pPr>
            <w:r>
              <w:rPr/>
              <w:t>to evidence the succession of another corporation to the Company and the assumption by any such successor of the covenants of the Company in such indenture and in the debt securities issued thereunder;</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left"/>
              <w:rPr/>
            </w:pPr>
            <w:r>
              <w:rPr/>
              <w:t>to add to the covenants of the Company for the benefit of the holders of any series of debt securities issued thereunder or to surrender any right or power conferred on the Company pursuant to the indenture;</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22"/>
        <w:gridCol w:w="9725"/>
      </w:tblGrid>
      <w:tr>
        <w:trPr/>
        <w:tc>
          <w:tcPr>
            <w:tcW w:w="5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(c)</w:t>
            </w:r>
          </w:p>
        </w:tc>
        <w:tc>
          <w:tcPr>
            <w:tcW w:w="9725" w:type="dxa"/>
            <w:tcBorders/>
            <w:vAlign w:val="center"/>
          </w:tcPr>
          <w:p>
            <w:pPr>
              <w:pStyle w:val="TableContents"/>
              <w:bidi w:val="0"/>
              <w:spacing w:before="0" w:after="283"/>
              <w:jc w:val="left"/>
              <w:rPr/>
            </w:pPr>
            <w:r>
              <w:rPr/>
              <w:t>to establish the form and terms of debt securities issued thereunder;</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283"/>
              <w:jc w:val="left"/>
              <w:rPr/>
            </w:pPr>
            <w:r>
              <w:rPr/>
              <w:t>to evidence and provide for the acceptance of an appointment of a successor trustee under such indenture with respect to one or more series of debt securities issued thereunder and to add to or change any of the provisions of the indenture as necessary to provide for or facilitate the administration of the trusts under such indenture by more than one trustee pursuant to the indenture;</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72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283"/>
              <w:jc w:val="left"/>
              <w:rPr/>
            </w:pPr>
            <w:r>
              <w:rPr/>
              <w:t>to cure any ambiguity, to correct or supplement any provision in the indenture that may be defective or inconsistent with any other provision of the indenture or to make any other provisions with respect to matters or questions arising under such indenture; provided that no such action pursuant to this clause (e) shall adversely affect the interests of the holders of any series of outstanding debt securities issued thereunder in any material respect;</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(f)</w:t>
            </w:r>
          </w:p>
        </w:tc>
        <w:tc>
          <w:tcPr>
            <w:tcW w:w="9958" w:type="dxa"/>
            <w:tcBorders/>
            <w:vAlign w:val="center"/>
          </w:tcPr>
          <w:p>
            <w:pPr>
              <w:pStyle w:val="TableContents"/>
              <w:bidi w:val="0"/>
              <w:spacing w:before="0" w:after="283"/>
              <w:jc w:val="left"/>
              <w:rPr/>
            </w:pPr>
            <w:r>
              <w:rPr/>
              <w:t>to add to, delete from or revise the conditions, limitations and restrictions on the authorized amount, terms or purposes of issue, authentication and delivery of securities under the indenture;</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(g)</w:t>
            </w:r>
          </w:p>
        </w:tc>
        <w:tc>
          <w:tcPr>
            <w:tcW w:w="9900" w:type="dxa"/>
            <w:tcBorders/>
            <w:vAlign w:val="center"/>
          </w:tcPr>
          <w:p>
            <w:pPr>
              <w:pStyle w:val="TableContents"/>
              <w:bidi w:val="0"/>
              <w:spacing w:before="0" w:after="283"/>
              <w:jc w:val="left"/>
              <w:rPr/>
            </w:pPr>
            <w:r>
              <w:rPr/>
              <w:t>to add any additional events of default with respect to all or any series of debt securities (as shall be specified in such supplemental indenture);</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(h)</w:t>
            </w:r>
          </w:p>
        </w:tc>
        <w:tc>
          <w:tcPr>
            <w:tcW w:w="9931" w:type="dxa"/>
            <w:tcBorders/>
            <w:vAlign w:val="center"/>
          </w:tcPr>
          <w:p>
            <w:pPr>
              <w:pStyle w:val="TableContents"/>
              <w:bidi w:val="0"/>
              <w:spacing w:before="0" w:after="283"/>
              <w:jc w:val="left"/>
              <w:rPr/>
            </w:pPr>
            <w:r>
              <w:rPr/>
              <w:t>to supplement any of the provisions of the indenture as may be necessary to permit or facilitate the defeasance and discharge of any series of debt securities, provided that such action does not adversely affect the interests of any holder of an outstanding debt security of such series or any other security in any material respect;</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w:t>
            </w:r>
          </w:p>
        </w:tc>
        <w:tc>
          <w:tcPr>
            <w:tcW w:w="9943" w:type="dxa"/>
            <w:tcBorders/>
            <w:vAlign w:val="center"/>
          </w:tcPr>
          <w:p>
            <w:pPr>
              <w:pStyle w:val="TableContents"/>
              <w:bidi w:val="0"/>
              <w:spacing w:before="0" w:after="283"/>
              <w:jc w:val="left"/>
              <w:rPr/>
            </w:pPr>
            <w:r>
              <w:rPr/>
              <w:t>to make provisions with respect to the conversion or exchange rights of holders of debt securities of any series;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(j)</w:t>
            </w:r>
          </w:p>
        </w:tc>
        <w:tc>
          <w:tcPr>
            <w:tcW w:w="9955" w:type="dxa"/>
            <w:tcBorders/>
            <w:vAlign w:val="center"/>
          </w:tcPr>
          <w:p>
            <w:pPr>
              <w:pStyle w:val="TableContents"/>
              <w:bidi w:val="0"/>
              <w:spacing w:before="0" w:after="283"/>
              <w:jc w:val="left"/>
              <w:rPr/>
            </w:pPr>
            <w:r>
              <w:rPr/>
              <w:t>to add guarantees in respect of the debt securities of one or more series and to provide for the terms and conditions of release thereof;</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(k)</w:t>
            </w:r>
          </w:p>
        </w:tc>
        <w:tc>
          <w:tcPr>
            <w:tcW w:w="9894" w:type="dxa"/>
            <w:tcBorders/>
            <w:vAlign w:val="center"/>
          </w:tcPr>
          <w:p>
            <w:pPr>
              <w:pStyle w:val="TableContents"/>
              <w:bidi w:val="0"/>
              <w:spacing w:before="0" w:after="283"/>
              <w:jc w:val="left"/>
              <w:rPr/>
            </w:pPr>
            <w:r>
              <w:rPr/>
              <w:t>to convey, transfer, assign, mortgage or pledge to the trustee as security for the debt securities of any series any property or assets;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(l)</w:t>
            </w:r>
          </w:p>
        </w:tc>
        <w:tc>
          <w:tcPr>
            <w:tcW w:w="9989" w:type="dxa"/>
            <w:tcBorders/>
            <w:vAlign w:val="center"/>
          </w:tcPr>
          <w:p>
            <w:pPr>
              <w:pStyle w:val="TableContents"/>
              <w:bidi w:val="0"/>
              <w:spacing w:before="0" w:after="283"/>
              <w:jc w:val="left"/>
              <w:rPr/>
            </w:pPr>
            <w:r>
              <w:rPr/>
              <w:t>to change or eliminate any of the provisions of the indenture, provided that any such change or elimination become effective only when there is no security of any series outstanding created prior to the execution of such supplemental indenture which is entitled to the benefit of such provision;</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47"/>
        <w:gridCol w:w="9710"/>
      </w:tblGrid>
      <w:tr>
        <w:trPr/>
        <w:tc>
          <w:tcPr>
            <w:tcW w:w="4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pPr>
            <w:r>
              <w:rPr/>
              <w:t>(m)</w:t>
            </w:r>
          </w:p>
        </w:tc>
        <w:tc>
          <w:tcPr>
            <w:tcW w:w="9710" w:type="dxa"/>
            <w:tcBorders/>
            <w:vAlign w:val="center"/>
          </w:tcPr>
          <w:p>
            <w:pPr>
              <w:pStyle w:val="TableContents"/>
              <w:bidi w:val="0"/>
              <w:spacing w:before="0" w:after="283"/>
              <w:jc w:val="left"/>
              <w:rPr/>
            </w:pPr>
            <w:r>
              <w:rPr/>
              <w:t>to provide for certificated securities in addition to or in place of global securities;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26"/>
        <w:gridCol w:w="9611"/>
      </w:tblGrid>
      <w:tr>
        <w:trPr/>
        <w:tc>
          <w:tcPr>
            <w:tcW w:w="6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pPr>
            <w:r>
              <w:rPr/>
              <w:t>(n)</w:t>
            </w:r>
          </w:p>
        </w:tc>
        <w:tc>
          <w:tcPr>
            <w:tcW w:w="9611" w:type="dxa"/>
            <w:tcBorders/>
            <w:vAlign w:val="center"/>
          </w:tcPr>
          <w:p>
            <w:pPr>
              <w:pStyle w:val="TableContents"/>
              <w:bidi w:val="0"/>
              <w:spacing w:before="0" w:after="283"/>
              <w:jc w:val="left"/>
              <w:rPr/>
            </w:pPr>
            <w:r>
              <w:rPr/>
              <w:t>to qualify such indenture under the Trust Indenture Act;</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(o)</w:t>
            </w:r>
          </w:p>
        </w:tc>
        <w:tc>
          <w:tcPr>
            <w:tcW w:w="9937" w:type="dxa"/>
            <w:tcBorders/>
            <w:vAlign w:val="center"/>
          </w:tcPr>
          <w:p>
            <w:pPr>
              <w:pStyle w:val="TableContents"/>
              <w:bidi w:val="0"/>
              <w:spacing w:before="0" w:after="283"/>
              <w:jc w:val="left"/>
              <w:rPr/>
            </w:pPr>
            <w:r>
              <w:rPr/>
              <w:t>with respect to the debt securities of any series, to conform the text of the indenture or the debt securities of such series to any provision of the description thereof in the Company’s offering memorandum or prospectus relating to the initial offering of such debt securities, to the extent that such provision, in the good faith judgment of the Company, was intended to be a verbatim recitation of a provision of the indenture or such securities; or</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(p)</w:t>
            </w:r>
          </w:p>
        </w:tc>
        <w:tc>
          <w:tcPr>
            <w:tcW w:w="9902" w:type="dxa"/>
            <w:tcBorders/>
            <w:vAlign w:val="center"/>
          </w:tcPr>
          <w:p>
            <w:pPr>
              <w:pStyle w:val="TableContents"/>
              <w:bidi w:val="0"/>
              <w:spacing w:before="0" w:after="283"/>
              <w:jc w:val="left"/>
              <w:rPr/>
            </w:pPr>
            <w:r>
              <w:rPr/>
              <w:t>to make any other change that does not adversely affect the rights of holders of any series of debt securities issued thereunder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any applicable prospectus supplement, documents incorporated by reference or free writing prospectus, the following will be events of default under the indenture with respect to each series of debt securities issued thereunder:</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left"/>
              <w:rPr/>
            </w:pPr>
            <w:r>
              <w:rPr/>
              <w:t>default for 30 days in the payment when due of interest on, or any additional amount in respect of, any series of debt securities;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283"/>
              <w:jc w:val="left"/>
              <w:rPr/>
            </w:pPr>
            <w:r>
              <w:rPr/>
              <w:t>default in the payment of principal of or any premium on any series of the debt securities outstanding under the indenture when due and payable;</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72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left"/>
              <w:rPr/>
            </w:pPr>
            <w:r>
              <w:rPr/>
              <w:t>default in the deposit, if any, of any sinking fund payment when and as due by the terms of any debt security of such series, subject to any cure period that may be specified in any debt security of such series;</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left"/>
              <w:rPr/>
            </w:pPr>
            <w:r>
              <w:rPr/>
              <w:t>failure by the Company for 60 days after receipt by written notice from the trustee upon instruction from holders of at least 25% in principal amount of the debt securities outstanding of such series to observe or perform any of the other covenants or agreements in the indenture and stating that such notice is a “Notice of Default” pursuant to the indenture; provided, that if such failure cannot be cured within such 60-day period, such period shall be automatically extended by another 60 days so long as (i) such failure is subject to cure and (ii) the Company is using commercially reasonable efforts to cure such failure; and provided, further, that a failure to comply with any such other agreement in the indenture that results from a change in U.S. generally accepted accounting principles shall not be deemed to be an event of default;</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6"/>
        <w:gridCol w:w="9880"/>
      </w:tblGrid>
      <w:tr>
        <w:trPr/>
        <w:tc>
          <w:tcPr>
            <w:tcW w:w="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(e)</w:t>
            </w:r>
          </w:p>
        </w:tc>
        <w:tc>
          <w:tcPr>
            <w:tcW w:w="9880" w:type="dxa"/>
            <w:tcBorders/>
            <w:vAlign w:val="center"/>
          </w:tcPr>
          <w:p>
            <w:pPr>
              <w:pStyle w:val="TableContents"/>
              <w:bidi w:val="0"/>
              <w:spacing w:before="0" w:after="283"/>
              <w:jc w:val="left"/>
              <w:rPr/>
            </w:pPr>
            <w:r>
              <w:rPr/>
              <w:t>certain events of bankruptcy, insolvency, reorganization or other similar action of the Company; and</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(f)</w:t>
            </w:r>
          </w:p>
        </w:tc>
        <w:tc>
          <w:tcPr>
            <w:tcW w:w="9971" w:type="dxa"/>
            <w:tcBorders/>
            <w:vAlign w:val="center"/>
          </w:tcPr>
          <w:p>
            <w:pPr>
              <w:pStyle w:val="TableContents"/>
              <w:bidi w:val="0"/>
              <w:spacing w:before="0" w:after="283"/>
              <w:jc w:val="left"/>
              <w:rPr/>
            </w:pPr>
            <w:r>
              <w:rPr/>
              <w:t>any other event of default provided in the indenture with respect to a particular series of debt securities, provided that any such event of default that results from a change in U.S. generally accepted accounting principles shall not be deemed to be an event of default.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specified in clause (a) or (b) above shall occur and be continuing with respect to any series of debt securities, holders of at least 25%, and in case an event of default specified in any clause other than clause (a), (b) or (e) above shall occur and be continuing with respect to any series of debt securities, holders of at least a majority in aggregate principal amount of the debt securities of such series then outstanding may declare the principal (or, in the case of discounted debt securities, the amount specified in the terms thereof) of such series to be due and payable. If an event of default described in (e) above shall occur and be continuing then the principal amount (or, in the case of discounted debt securities, the amount specified in the terms thereof) of all the debt securities outstanding shall be and become due and payable immediately, without notice or other action by any holder or the trustee, to the full extent permitted by law. Any past or existing default or event of default with respect to particular series of debt securities under such indenture may be waived by the holders of a majority in aggregate principal amount of the outstanding debt securities of such series, except in each case a continuing default (1) in the payment of the principal of, any premium or interest on, or any additional amounts with respect to, any debt security of such series, or (2) in respect of a covenant or provision which cannot be modified or amended without the consent of each holder affected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Company must periodically furnish the trustee with a written statement as to the Company’s compliance with the covenants contained in the indenture and as to the absence of default under the indenture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trustee may withhold notice to the holders of any default with respect to any series of debt securities (except in payment of principal of or interest or premium on, or sinking fund payment in respect of, the debt securities) if and so long as the board of directors, the executive committee or a trust committee of directors of the trustee and/or responsible officers of the trustee in good faith determine that the withholding of such notice is in the best interest of the holders of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a provision entitling the trustee to be indemnified by the holders before proceeding to exercise any trust or power under the indenture at the request of such holders. The indenture provides that the holders of a majority in 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provided, however, that the trustee may decline to follow any such direction if, among other reasons, the trustee determines in good faith that the actions or proceedings as directed may not lawfully be taken or would be unduly prejudicial to the holders of the debt securities of such series not joining in such direction. The right of a holder to institute a proceeding with respect to a series of debt securities will be subject to certain conditions precedent including, without limitation, that in case of an event of default specified in clause (a), (b) or (e) of the first paragraph above under “- Events of Default,” holders of at least 25%, or in case of an event of default other than specified in clause (a), (b) or (e) of the first paragraph above under “- Events of Default”, holders of at least a majority, in aggregate principal amount of the debt securities of such series then outstanding make a written request upon the trustee to exercise its powers under such indenture, indemnify the trustee and afford the trustee reasonable opportunity to act. Notwithstanding the foregoing, the holder has an absolute right to receipt of the principal of, premium, if any, and interest when due on the debt securities, to require conversion of debt securities if such indenture provides for convertibility at the option of the holder and to institute suit for the enforcement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Company may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 the successor person is a person organized under the laws of any domestic jurisdiction and assumes the Company’s obligations on the debt securities issued thereunder, and under the indenture, and after giving effect thereto no event of default, and no event that, after notice or lapse of time or both, would become an event of default, shall have occurred and be continuing, and that certain other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Payment of Principal, any Premium, Interest or Additional Amounts</w:t>
      </w:r>
      <w:r>
        <w:rPr>
          <w:rFonts w:ascii="Times New Roman;Times;Serif" w:hAnsi="Times New Roman;Times;Serif"/>
          <w:b w:val="false"/>
          <w:i w:val="false"/>
          <w:caps w:val="false"/>
          <w:smallCaps w:val="false"/>
          <w:sz w:val="20"/>
        </w:rPr>
        <w:t>. The Company will duly and punctually pay the principal of, and premium and interest on or any additional amounts payable with respect to, any debt securities of any series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Maintenance of Office or Agency</w:t>
      </w:r>
      <w:r>
        <w:rPr>
          <w:rFonts w:ascii="Times New Roman;Times;Serif" w:hAnsi="Times New Roman;Times;Serif"/>
          <w:b w:val="false"/>
          <w:i w:val="false"/>
          <w:caps w:val="false"/>
          <w:smallCaps w:val="false"/>
          <w:sz w:val="20"/>
        </w:rPr>
        <w:t>. The Company will be required to maintain an office or agency in each place of payment for each series of debt securities for notice and demand purposes and for the purposes of presenting or surrendering debt securities for payment, registration of transfer, or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So long as any debt securities of a particular series are outstanding under the indenture, the Company will file with the trustee, within 30 days after the Company has filed the same with the SEC, unless such reports are available on the SEC’s EDGAR filing system (or any successor thereto), copies of the annual reports and of the information, documents and other reports (or copies of such portions of any of the foregoing as the SEC may from time to time by rules and regulations prescribe) which the Company may be required to file with the SEC pursuant to Section 13 or Section 15(d) of the Exchange Act; or, if the Company is not required to file information, documents or reports pursuant to either of said Sections, then it shall file with the trustee and the SEC, in accordance with rules and regulations prescribed from time to time by the SEC,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Additional Covenants</w:t>
      </w:r>
      <w:r>
        <w:rPr>
          <w:rFonts w:ascii="Times New Roman;Times;Serif" w:hAnsi="Times New Roman;Times;Serif"/>
          <w:b w:val="false"/>
          <w:i w:val="false"/>
          <w:caps w:val="false"/>
          <w:smallCaps w:val="false"/>
          <w:sz w:val="20"/>
        </w:rPr>
        <w:t>. Any additional covenants of the Company with respect to any series of debt securities will be set forth in the applicable prospectus supplement, documents incorporated by reference or free writing prospectus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any, upon which the debt securities are convertible into common stock or preferred stock will be set forth in the applicable prospectus supplement, documents incorporated by reference or free writing prospectus relating thereto. Such terms will include the conversion price (or manner of calculation thereof), the conversion period, provisions as to whether conversion will be at the option of the holders or the Company, the events requiring an adjustment of the conversion price and provisions affecting conversion in the event of redemption of such debt securities and any restrictions 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Repurchase at the Option of the Holder; Sinking Fund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any, upon which (a) the debt securities are redeemable at the option of the Company, (b) the holder of debt securities may cause the Company to repurchase such debt securities or (c) the debt securities are subject to any sinking fund will be set forth in the applicable prospectus supplement, documents incorporated by reference or free writing prospectus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Repurchases on the Open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any affiliate of the Company may at any time or from time to time repurchase any debt security in the open market or otherwise. Such debt securities may, at the option of the Company or the relevant affiliate of the Company, be held, resold or surrendered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Defeasance and Covenant Defeasance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with respect to each series of debt securities issued thereunder, that the Company may satisfy and discharge its obligations under such debt securities of a series and such indenture with respect to debt securities of such series if:</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918" w:type="dxa"/>
            <w:tcBorders/>
            <w:vAlign w:val="center"/>
          </w:tcPr>
          <w:p>
            <w:pPr>
              <w:pStyle w:val="TableContents"/>
              <w:bidi w:val="0"/>
              <w:spacing w:before="0" w:after="283"/>
              <w:jc w:val="left"/>
              <w:rPr/>
            </w:pPr>
            <w:r>
              <w:rPr/>
              <w:t>all debt securities of such series previously authenticated and delivered, with certain exceptions, have been delivered to the trustee for cancellation; or</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9"/>
        <w:gridCol w:w="8086"/>
        <w:gridCol w:w="1060"/>
      </w:tblGrid>
      <w:tr>
        <w:trPr/>
        <w:tc>
          <w:tcPr>
            <w:tcW w:w="1059" w:type="dxa"/>
            <w:tcBorders/>
            <w:vAlign w:val="center"/>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pPr>
            <w:r>
              <w:rPr/>
              <w:t>(b)</w:t>
            </w:r>
          </w:p>
        </w:tc>
        <w:tc>
          <w:tcPr>
            <w:tcW w:w="10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left"/>
              <w:rPr/>
            </w:pPr>
            <w:r>
              <w:rPr/>
              <w:t>the debt securities of such series have become due and payable, or mature within one year, or all of them are to be called for redemption within one year under arrangements satisfactory to the trustee for giving the notice of redemption and the Company irrevocably deposits in trust with the trustee, as trust funds solely for the benefit of the holders of such debt securities, for that purpose, money or governmental obligations or a combination thereof sufficient (in the opinion of a nationally recognized independent registered public accounting firm expressed in a written certification thereof delivered to the trustee) to pay and discharge the entire indebtedness on the debt securities of such series to maturity or redemption, as the case may be, and pays all other sums payable by it under such indenture; and</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left"/>
              <w:rPr/>
            </w:pPr>
            <w:r>
              <w:rPr/>
              <w:t>the Company delivers to the trustee an officers’ certificate and an opinion of counsel, in each case stating that all conditions precedent provided for in such indenture relating to the satisfaction and discharge of such indenture with respect to the debt securities of such series have been complied with.</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such satisfaction and discharge, the obligations of the Company to compensate and indemnify the trustee, to pay additional amounts, if any, in respect of debt securities in certain circumstances and to convert or exchange debt securities pursuant to the terms thereof and the obligations of the Company and the trustee to hold funds in trust and to apply such funds pursuant to the terms of the indenture, with respect to issuing temporary debt securities, with respect to the registration, transfer and exchange of debt securities, with respect to the replacement of mutilated, destroyed, lost or stolen debt securities and with respect to the maintenance of an office or agency for payment, shall in each case survive such satisfaction and discharge.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inapplicable to debt securities of a series pursuant to the terms thereof, the indenture provides that (i) the Company will be deemed to have paid and will be discharged from any and all obligations in respect of the debt securities issued thereunder of any series, and the provisions of such indenture will, except as noted below, no longer be in effect with respect to the debt securities of such series (“defeasance”) and (ii) (1) the Company may omit to comply with the covenant under “- Consolidation, Merger and Sale of Assets” and any other additional covenants established pursuant to the terms of such series, and such omission shall be deemed not to be an event of default under clause (d) or (f) of the first paragraph of “— Events of Default” and (2) the occurrence of any event described in clause (f) of the first paragraph of “— Events of Default” shall not be deemed to be an event of default, in each case with respect to the outstanding debt securities of such series ((1) and (2) of this clause (ii), “covenant defeasance”); provided that the following conditions shall have been satisfied with respect to such series:</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left"/>
              <w:rPr/>
            </w:pPr>
            <w:r>
              <w:rPr/>
              <w:t>the Company has irrevocably deposited in trust with the trustee as trust funds solely for the benefit of the holders of the debt securities of such series, for payment of the principal of and interest of the debt securities of such series, money or government obligations or a combination thereof sufficient (in the opinion of a nationally recognized independent registered public accounting firm expressed in a written certification thereof delivered to the trustee) without consideration of any reinvestment to pay and discharge the principal of and accrued interest on the outstanding debt securities of such series to maturity or earlier redemption, as the case may be;</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72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left"/>
              <w:rPr/>
            </w:pPr>
            <w:r>
              <w:rPr/>
              <w:t>such defeasance or covenant defeasance will not result in a breach or violation of, or constitute a default under, such indenture or any other material agreement or instrument to which the Company is a party or by which it is bound;</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left"/>
              <w:rPr/>
            </w:pPr>
            <w:r>
              <w:rPr/>
              <w:t>no event of default or event which with notice or lapse of time would become an event of default with respect to such debt securities of such series shall have occurred and be continuing on the date of such deposit;</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left"/>
              <w:rPr/>
            </w:pPr>
            <w:r>
              <w:rPr/>
              <w:t>the Company shall have delivered to such trustee an opinion of counsel as described in the indenture to the effect that the holders of the debt securities of such series will not recognize income, gain or loss for federal income tax purposes as a result of the Company’s exercise of its option under this provision of such indenture and will be subject to federal income tax on the same amount and in the same manner and at the same times as would have been the case if such deposit and defeasance or covenant defeasance had not occurred;</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left"/>
              <w:rPr/>
            </w:pPr>
            <w:r>
              <w:rPr/>
              <w:t>the Company has delivered to the trustee an officers’ certificate and an opinion of counsel, in each case stating that all conditions precedent provided for in such indenture relating to the defeasance contemplated have been complied with;</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(f)</w:t>
            </w:r>
          </w:p>
        </w:tc>
        <w:tc>
          <w:tcPr>
            <w:tcW w:w="9953" w:type="dxa"/>
            <w:tcBorders/>
            <w:vAlign w:val="center"/>
          </w:tcPr>
          <w:p>
            <w:pPr>
              <w:pStyle w:val="TableContents"/>
              <w:bidi w:val="0"/>
              <w:spacing w:before="0" w:after="283"/>
              <w:jc w:val="left"/>
              <w:rPr/>
            </w:pPr>
            <w:r>
              <w:rPr/>
              <w:t>if the debt securities are to be redeemed prior to their maturity, notice of such redemption shall have been duly given or in another manner satisfactory to the trustee; and</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(g)</w:t>
            </w:r>
          </w:p>
        </w:tc>
        <w:tc>
          <w:tcPr>
            <w:tcW w:w="9906" w:type="dxa"/>
            <w:tcBorders/>
            <w:vAlign w:val="center"/>
          </w:tcPr>
          <w:p>
            <w:pPr>
              <w:pStyle w:val="TableContents"/>
              <w:bidi w:val="0"/>
              <w:spacing w:before="0" w:after="283"/>
              <w:jc w:val="left"/>
              <w:rPr/>
            </w:pPr>
            <w:r>
              <w:rPr/>
              <w:t>any such defeasance or covenant defeasance shall comply with any additional or substitute terms provided for by the terms of such debt securities of such series.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 defeasance or covenant defeasance, the Company’s obligations with respect to the following in respect of debt securities of such series will survive with respect to such securities until otherwise terminated or discharged under the terms of the indenture or no debt securities of such series are outstanding:</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left"/>
              <w:rPr/>
            </w:pPr>
            <w:r>
              <w:rPr/>
              <w:t>the rights of holders of outstanding debt securities of such series to receive payments in respect of the principal of, interest on or premium or additional amounts, if any, payable in respect of, such debt securities when such payments are due from the trust referred in clause (a) in the preceding paragraph, and any rights of such holder to convert or exchange such debt securities into common stock or other securities, cash or other property;</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the issuance of temporary debt securities, the registration, transfer and exchange of debt securities, the replacement of mutilated, destroyed, lost or stolen debt securities and the maintenance of an office or agency for payment and holding payments in trust, and the Company’s obligations with respect to the payment of additional amounts, if any, on such securities, and with respect to any rights to convert or exchange such securities into common stock or other securities, cash or other property;</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283"/>
              <w:jc w:val="left"/>
              <w:rPr/>
            </w:pPr>
            <w:r>
              <w:rPr/>
              <w:t>the rights, powers, trusts, duties and immunities of the trustee, and the Company’s obligations in connection therewith; and</w:t>
            </w:r>
          </w:p>
        </w:tc>
      </w:tr>
    </w:tbl>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5"/>
        <w:gridCol w:w="9702"/>
      </w:tblGrid>
      <w:tr>
        <w:trPr/>
        <w:tc>
          <w:tcPr>
            <w:tcW w:w="5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pPr>
            <w:r>
              <w:rPr/>
              <w:t>(d)</w:t>
            </w:r>
          </w:p>
        </w:tc>
        <w:tc>
          <w:tcPr>
            <w:tcW w:w="9702" w:type="dxa"/>
            <w:tcBorders/>
            <w:vAlign w:val="center"/>
          </w:tcPr>
          <w:p>
            <w:pPr>
              <w:pStyle w:val="TableContents"/>
              <w:bidi w:val="0"/>
              <w:spacing w:before="0" w:after="283"/>
              <w:jc w:val="left"/>
              <w:rPr/>
            </w:pPr>
            <w:r>
              <w:rPr/>
              <w:t>the defeasance or covenant defeasance provisions of the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the indenture, undertakes to perform only those duties as are specifically set forth in the indenture. Upon an event of default under the indenture, the trustee must use the same degree of care as a prudent person would exercise or use under the circumstances in the conduct of his or her own affairs. Subject to this provision and certain other limitations, the trustee is under no obligation to exercise any of the powers given it by the indenture at the request of any holder of debt securities unless it is offered indemnity satisfactory to it against the costs, expenses and liabilities that it might incur.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debt securities and the indenture will be governed by and construed in accordance with the laws of the State of New York, except to the extent that the Trust Indenture Act is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b_009"/>
      <w:bookmarkEnd w:id="23"/>
      <w:r>
        <w:rPr>
          <w:rFonts w:ascii="Times New Roman;Times;Serif" w:hAnsi="Times New Roman;Times;Serif"/>
          <w:b/>
          <w:i w:val="false"/>
          <w:caps/>
          <w:sz w:val="20"/>
        </w:rPr>
        <w:t>DESCRIPTION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warrants that we may offer under this base prospectus and the related warrant agreements and warrant certificates. While the terms summarized below will apply generally to any warrants that we may offer, we will describe the particular terms of any series of warrants in more detail in the applicable prospectus supplement. The terms of any warrants offered under that prospectus supplement may differ from the terms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description, together with the additional information we may include in any applicable prospectus supplements does not purport to be complete and is subject to, and qualified in its entirety by reference to, the form of warrant agreement and form of warrant certificate relating to each series of warrants that will be incorporated by reference as an exhibit to the registration statement that includes this base prospectus or as an exhibit to a current report on Form 8-K if we offer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spacing w:before="0" w:after="0"/>
        <w:ind w:left="1440" w:right="0" w:hanging="72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offering price and aggregate number of warrants offered;</w:t>
            </w:r>
          </w:p>
        </w:tc>
      </w:tr>
    </w:tbl>
    <w:p>
      <w:pPr>
        <w:pStyle w:val="TextBody"/>
        <w:bidi w:val="0"/>
        <w:spacing w:before="0" w:after="0"/>
        <w:ind w:left="1440" w:right="0" w:hanging="72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currency for which the warrants may be purchased;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applicable, the date on and after which the warrants and the related securities will be separately transferable;</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the case of warrants to purchase common stock, the number of shares of common stock purchasable upon the exercise of one warrant and the price at which these shares may be purchased upon such exercise;</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effect of any merger, consolidation, sale or other disposition of our business on the warrant agreements and the warrants;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terms of any rights to redeem or call the warrants, including whether the right to convert or purchase the securities may be forfeited unless exercised before the date specified in a notice of the redemption or call;</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kinds, frequency and timing of notice of the redemption or call, including the cities or newspapers where notice will be published;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provisions for changes to or adjustments in the exercise price or number of securities issuable upon exercise of the warrants;</w:t>
            </w:r>
          </w:p>
        </w:tc>
      </w:tr>
    </w:tbl>
    <w:p>
      <w:pPr>
        <w:pStyle w:val="TextBody"/>
        <w:bidi w:val="0"/>
        <w:spacing w:before="0" w:after="0"/>
        <w:ind w:left="1440" w:right="0" w:hanging="72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17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dates on which the right to exercise the warrants will commence and expire;</w:t>
            </w:r>
          </w:p>
        </w:tc>
      </w:tr>
    </w:tbl>
    <w:p>
      <w:pPr>
        <w:pStyle w:val="TextBody"/>
        <w:bidi w:val="0"/>
        <w:spacing w:before="0" w:after="0"/>
        <w:ind w:left="1440" w:right="0" w:hanging="72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manner in which the warrant agreements and warrants may be modified;</w:t>
            </w:r>
          </w:p>
        </w:tc>
      </w:tr>
    </w:tbl>
    <w:p>
      <w:pPr>
        <w:pStyle w:val="TextBody"/>
        <w:bidi w:val="0"/>
        <w:spacing w:before="0" w:after="0"/>
        <w:ind w:left="1440" w:right="0" w:hanging="72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income tax consequences of holding or exercising the warrants;</w:t>
            </w:r>
          </w:p>
        </w:tc>
      </w:tr>
    </w:tbl>
    <w:p>
      <w:pPr>
        <w:pStyle w:val="TextBody"/>
        <w:bidi w:val="0"/>
        <w:spacing w:before="0" w:after="0"/>
        <w:ind w:left="1440" w:right="0" w:hanging="72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terms of the securities issuable upon exercise of the warrants;</w:t>
            </w:r>
          </w:p>
        </w:tc>
      </w:tr>
    </w:tbl>
    <w:p>
      <w:pPr>
        <w:pStyle w:val="TextBody"/>
        <w:bidi w:val="0"/>
        <w:spacing w:before="0" w:after="0"/>
        <w:ind w:left="1440" w:right="0" w:hanging="72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provisions for the warrants to be held in book entry form; and</w:t>
            </w:r>
          </w:p>
        </w:tc>
      </w:tr>
    </w:tbl>
    <w:p>
      <w:pPr>
        <w:pStyle w:val="TextBody"/>
        <w:bidi w:val="0"/>
        <w:spacing w:before="0" w:after="0"/>
        <w:ind w:left="1440" w:right="0" w:hanging="72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other specific terms, preferences, rights or limitations of or restrictions on the warrants.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 the right to receive dividends, if any, or payments upon our liquidation, dissolution or winding up or to exercise voting rights,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on the expiration date that we set forth in the applicable prospectus supplement. After the close of business on the expiration date, unexercised warrants will become void.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were warrants outstanding to purchase up to a total of 5,079,294 shares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4" w:name="b_010"/>
      <w:bookmarkEnd w:id="24"/>
      <w:r>
        <w:rPr>
          <w:rFonts w:ascii="Times New Roman;Times;Serif" w:hAnsi="Times New Roman;Times;Serif"/>
          <w:b/>
          <w:i w:val="false"/>
          <w:caps/>
          <w:sz w:val="20"/>
        </w:rPr>
        <w:t>DESCRIPTION OF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rights that we may offer under this prospectus, which consist of rights to purchase our common stock, preferred stock and/or debt securities in one or more series. Rights may be offered independently or together with our common stock, preferred stock, debt securities and/or warrants offered by any prospectus supplement and may be attached to or separate from those securities. While the terms we have summarized below will generally apply to any future rights we may offer pursuant to this prospectus, we will describe the particular terms of any rights that we may offer in more detail in the applicable prospectus supplements. The terms of any rights we offer under a prospectus supplement may differ from the terms we describe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supplements relating to any rights that we offer will include specific terms of any offering of rights for which this prospectus is being delivered, including the following, to the extent applicable:</w:t>
      </w:r>
    </w:p>
    <w:p>
      <w:pPr>
        <w:pStyle w:val="TextBody"/>
        <w:bidi w:val="0"/>
        <w:spacing w:before="0" w:after="0"/>
        <w:ind w:left="1440" w:right="0" w:hanging="72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date for determining the persons entitled to participate in the rights distribution;</w:t>
            </w:r>
          </w:p>
        </w:tc>
      </w:tr>
    </w:tbl>
    <w:p>
      <w:pPr>
        <w:pStyle w:val="TextBody"/>
        <w:bidi w:val="0"/>
        <w:spacing w:before="0" w:after="0"/>
        <w:ind w:left="1440" w:right="0" w:hanging="72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price, if any, per right;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exercise price payable for each share of common stock, share of preferred stock or debt security upon the exercise of the rights;</w:t>
            </w:r>
          </w:p>
        </w:tc>
      </w:tr>
    </w:tbl>
    <w:p>
      <w:pPr>
        <w:pStyle w:val="TextBody"/>
        <w:bidi w:val="0"/>
        <w:spacing w:before="0" w:after="0"/>
        <w:ind w:left="1440" w:right="0" w:hanging="72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number of rights issued or to be issued to each holder;</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number and terms of the shares of common stock, shares of preferred stock or debt securities that may be purchased per each right;</w:t>
            </w:r>
          </w:p>
        </w:tc>
      </w:tr>
    </w:tbl>
    <w:p>
      <w:pPr>
        <w:pStyle w:val="TextBody"/>
        <w:bidi w:val="0"/>
        <w:spacing w:before="0" w:after="0"/>
        <w:ind w:left="1440" w:right="0" w:hanging="72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extent to which the rights are transferable;</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other terms of the rights, including the terms, procedures and limitations relating to the exchange and exercise of the rights;</w:t>
            </w:r>
          </w:p>
        </w:tc>
      </w:tr>
    </w:tbl>
    <w:p>
      <w:pPr>
        <w:pStyle w:val="TextBody"/>
        <w:bidi w:val="0"/>
        <w:spacing w:before="0" w:after="0"/>
        <w:ind w:left="1440" w:right="0" w:hanging="72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respective dates on which the holder’s ability to exercise the rights will commence and will expire;</w:t>
            </w:r>
          </w:p>
        </w:tc>
      </w:tr>
    </w:tbl>
    <w:p>
      <w:pPr>
        <w:pStyle w:val="TextBody"/>
        <w:bidi w:val="0"/>
        <w:spacing w:before="0" w:after="0"/>
        <w:ind w:left="1440" w:right="0" w:hanging="72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number of rights outstanding, if any;</w:t>
            </w:r>
          </w:p>
        </w:tc>
      </w:tr>
    </w:tbl>
    <w:p>
      <w:pPr>
        <w:pStyle w:val="TextBody"/>
        <w:bidi w:val="0"/>
        <w:spacing w:before="0" w:after="0"/>
        <w:ind w:left="1440" w:right="0" w:hanging="72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discussion of any material U.S. federal income tax considerations applicable to the rights;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extent to which the rights may include an over-subscription privilege with respect to unsubscribed securities;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applicable, the material terms of any standby underwriting or purchase arrangement entered into by us in connection with the offering of such rights.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supplements of any rights that we may offer will not necessarily be complete and will be qualified in its entirety by reference to the applicable rights agreement and/or rights certificate, which will be filed with the SEC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outstanding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5" w:name="b_011"/>
      <w:bookmarkEnd w:id="25"/>
      <w:r>
        <w:rPr>
          <w:rFonts w:ascii="Times New Roman;Times;Serif" w:hAnsi="Times New Roman;Times;Serif"/>
          <w:b/>
          <w:i w:val="false"/>
          <w:caps/>
          <w:sz w:val="20"/>
        </w:rPr>
        <w:t>DESCRIPTION OF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units that we may offer under this base prospectus. While the terms we have summarized below will apply generally to any units that we may offer under this base prospectus, we will describe the particular terms of any series of units in more detail in the applicable prospectus supplement. The terms of any units offered under a prospectus supplement may differ from the terms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description, together with the additional information we may include in any applicable prospectus supplements, does not purport to be complete and is subject to, and qualified in its entirety by reference to, the form of unit agreement and form of unit certificate relating to each series of units that will be incorporated by reference as an exhibit to the registration statement that includes this base prospectus or as an exhibit to a current report on Form 8-K if we offer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common stock, preferred stock, debt securities, debt obligations of third parties, including U.S. treasury securities, warrants, rights or any combination thereof.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1440" w:right="0" w:hanging="72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provisions of the governing unit agreement that differ from those described below;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provisions for the issuance, payment, settlement, transfer or exchange of the units or of the securities comprising the units.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Capital Stock,” “Description of Debt Securities,” “Description of Warrants” and “Description of Rights” will apply to each unit and to any common stock, preferred stock, debt security, warrants or rights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outstanding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6" w:name="b_012"/>
      <w:bookmarkEnd w:id="26"/>
      <w:r>
        <w:rPr>
          <w:rFonts w:ascii="Times New Roman;Times;Serif" w:hAnsi="Times New Roman;Times;Serif"/>
          <w:b/>
          <w:i w:val="false"/>
          <w:caps/>
          <w:sz w:val="20"/>
        </w:rPr>
        <w:t>PLAN OF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by this base prospectus separately or together through any of the following methods:</w:t>
      </w:r>
    </w:p>
    <w:p>
      <w:pPr>
        <w:pStyle w:val="TextBody"/>
        <w:bidi w:val="0"/>
        <w:spacing w:before="0" w:after="0"/>
        <w:ind w:left="1440" w:right="0" w:hanging="72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170"/>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 or through one or more underwriters or dealers in a public offering and sale by them;</w:t>
            </w:r>
          </w:p>
        </w:tc>
      </w:tr>
    </w:tbl>
    <w:p>
      <w:pPr>
        <w:pStyle w:val="TextBody"/>
        <w:bidi w:val="0"/>
        <w:spacing w:before="0" w:after="0"/>
        <w:ind w:left="1440" w:right="0" w:hanging="720"/>
        <w:jc w:val="left"/>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17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directly to investors;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any national securities exchange or quotation service on which the securities may be listed or quoted at the time of sale;</w:t>
            </w:r>
          </w:p>
        </w:tc>
      </w:tr>
    </w:tbl>
    <w:p>
      <w:pPr>
        <w:pStyle w:val="TextBody"/>
        <w:bidi w:val="0"/>
        <w:spacing w:before="0" w:after="0"/>
        <w:ind w:left="1440" w:right="0" w:hanging="72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the over-the-counter market;</w:t>
            </w:r>
          </w:p>
        </w:tc>
      </w:tr>
    </w:tbl>
    <w:p>
      <w:pPr>
        <w:pStyle w:val="TextBody"/>
        <w:bidi w:val="0"/>
        <w:spacing w:before="0" w:after="0"/>
        <w:ind w:left="1440" w:right="0" w:hanging="720"/>
        <w:jc w:val="left"/>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transactions other than on these exchanges or systems or in the over-the-counter market;</w:t>
            </w:r>
          </w:p>
        </w:tc>
      </w:tr>
    </w:tbl>
    <w:p>
      <w:pPr>
        <w:pStyle w:val="TextBody"/>
        <w:bidi w:val="0"/>
        <w:spacing w:before="0" w:after="0"/>
        <w:ind w:left="1440" w:right="0" w:hanging="720"/>
        <w:jc w:val="left"/>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through agents;</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through block trades in which the broker or dealer engaged to handle the block trade will attempt to sell the securities as agent, but may position and resell a portion of the block as principal to facilitate the transaction;</w:t>
            </w:r>
          </w:p>
        </w:tc>
      </w:tr>
    </w:tbl>
    <w:p>
      <w:pPr>
        <w:pStyle w:val="TextBody"/>
        <w:bidi w:val="0"/>
        <w:spacing w:before="0" w:after="0"/>
        <w:ind w:left="1440" w:right="0" w:hanging="72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“at the market offerings,” within the meaning of Rule 415(a)(4) of the Securities Act;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1440" w:right="0" w:hanging="72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1440" w:right="0" w:hanging="72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1440" w:right="0" w:hanging="720"/>
        <w:jc w:val="left"/>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1440" w:right="0" w:hanging="720"/>
        <w:jc w:val="left"/>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through any combination of these methods of sale; or</w:t>
            </w:r>
          </w:p>
        </w:tc>
      </w:tr>
    </w:tbl>
    <w:p>
      <w:pPr>
        <w:pStyle w:val="TextBody"/>
        <w:bidi w:val="0"/>
        <w:spacing w:before="0" w:after="0"/>
        <w:ind w:left="1440" w:right="0" w:hanging="720"/>
        <w:jc w:val="left"/>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any manner, as provided in the applicable prospectus supplement.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securities from time to time in one or more transactions:</w:t>
      </w:r>
    </w:p>
    <w:p>
      <w:pPr>
        <w:pStyle w:val="TextBody"/>
        <w:bidi w:val="0"/>
        <w:spacing w:before="0" w:after="0"/>
        <w:ind w:left="1440" w:right="0" w:hanging="720"/>
        <w:jc w:val="left"/>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a fixed price or prices, which may be changed;</w:t>
            </w:r>
          </w:p>
        </w:tc>
      </w:tr>
    </w:tbl>
    <w:p>
      <w:pPr>
        <w:pStyle w:val="TextBody"/>
        <w:bidi w:val="0"/>
        <w:spacing w:before="0" w:after="0"/>
        <w:ind w:left="1440" w:right="0" w:hanging="72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market prices prevailing at the times of sale;</w:t>
            </w:r>
          </w:p>
        </w:tc>
      </w:tr>
    </w:tbl>
    <w:p>
      <w:pPr>
        <w:pStyle w:val="TextBody"/>
        <w:bidi w:val="0"/>
        <w:spacing w:before="0" w:after="0"/>
        <w:ind w:left="1440" w:right="0" w:hanging="72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prices related to such prevailing market prices;</w:t>
            </w:r>
          </w:p>
        </w:tc>
      </w:tr>
    </w:tbl>
    <w:p>
      <w:pPr>
        <w:pStyle w:val="TextBody"/>
        <w:bidi w:val="0"/>
        <w:spacing w:before="0" w:after="0"/>
        <w:ind w:left="1440" w:right="0" w:hanging="720"/>
        <w:jc w:val="left"/>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varying prices determined at the time of sale; or</w:t>
            </w:r>
          </w:p>
        </w:tc>
      </w:tr>
    </w:tbl>
    <w:p>
      <w:pPr>
        <w:pStyle w:val="TextBody"/>
        <w:bidi w:val="0"/>
        <w:spacing w:before="0" w:after="0"/>
        <w:ind w:left="1440" w:right="0" w:hanging="72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at negotiated prices.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method of distribution of the securities in the applicable prospectus supplement. We may also determine the price or other terms of the securities offered under this base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established trading market, other than our common stock, which is traded on The Nasdaq Capital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whether an active trading market will develop for the offered securities or the liquidity of the trading market for any of the securities. We have no current plans for listing of the preferred stock, debt securities, warrants, rights or units on any securities exchange or quotation system. Any such listing with respect to any particular preferred stock, debt securities, warrants, rights or units will be described in the applicable prospectus supplement or other offering materials,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or agents may receive compensation in the form of discounts, concessions or commissions from us or our purchasers (as their agents in connection with the sale of the securities). In addition, underwriters may sell the securities to or through dealers, and those dealers may receive compensation in the form of discounts, concessions or commissions from the underwriters and/or commissions from the purchasers for whom they act as agent.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will identify any such underwriter, dealer or agent, and describe any compensation received by them from us as well as any other offering expenses. Only underwriters named in the prospectus supplement are underwriters of the securities offered by the prospectus supplement. Any initial public offering price and any discounts or concessions allowed or reallowed or paid to dealers may be changed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common stock registered under the registration statement that includes this base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underwriters who participate in the distribution of the securities an option to purchase additional securities to cover overallotments, if any, in connection with the distribution. Any underwriter may engage in overallotment, stabilizing transactions, short-covering transactions and penalty bids in accordance with Regulation M that stabilize, maintain or otherwise affect the price of the offered securities.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common stock in the open market after the distribution is completed to cover short positions. Penalty bids permit the underwriters to reclaim a selling concession from a dealer when the common stock originally sold by the dealer is purchased in a covering transaction to cover short positions. Those activities may cause the price of the common stock to be higher than it would otherwise be. If commenced, the underwriters may discontinue any of the activities at any time. If any such activities will occur, they will be described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or agents and their associates may be customers of, engage in transactions with or perform services for us in the ordinary course of business and any such relationships will be described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5% or more of the net proceeds of any offering of securities made under this base prospectus will be received by a FINRA member participating in the offering or affiliates or associated persons of such FINRA member, the offering will be conducted in accordance with FINRA Conduct Rule 5121.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base prospectus may be amended or supplemented from time to time to describe a specific plan of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7" w:name="b_013"/>
      <w:bookmarkEnd w:id="27"/>
      <w:r>
        <w:rPr>
          <w:rFonts w:ascii="Times New Roman;Times;Serif" w:hAnsi="Times New Roman;Times;Serif"/>
          <w:b/>
          <w:i w:val="false"/>
          <w:caps/>
          <w:sz w:val="20"/>
        </w:rPr>
        <w:t>LEGAL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indicates otherwise, the validity of the securities being offered by this base prospectus will be passed upon by Orrick, Herrington &amp; Sutcliffe LLP, Boston, Massachusetts. Additional legal matters may be passed upon for us or any underwriters, dealers or agents, by counsel that we will name in an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8" w:name="b_014"/>
      <w:bookmarkEnd w:id="28"/>
      <w:r>
        <w:rPr>
          <w:rFonts w:ascii="Times New Roman;Times;Serif" w:hAnsi="Times New Roman;Times;Serif"/>
          <w:b/>
          <w:i w:val="false"/>
          <w:caps/>
          <w:sz w:val="20"/>
        </w:rPr>
        <w:t>EXPERTS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as of December 31, 2025 and for the year ended December 31, 2025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as of and for the year ended December 31, 2024 incorporated by reference in this prospectus have been audited by dbbmckennon, an independent registered public accounting firm, as set forth in their report thereon, which is also incorporated by reference herein, and are incorporated by reference in reliance upon such report given on the authority of such firm as experts in accounting and auditing.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Diligent Robotics, Inc. as of and for the year ended December 31, 2025 incorporated by reference in this prospectus have been audited by dbbmckennon, an independent registered public accounting firm, as set forth in their report thereon, which is also incorporated by reference herein, and are incorporated by reference in reliance upon such report given on the authority of such firm as experts in accounting and auditing.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9" w:name="b_015"/>
      <w:bookmarkEnd w:id="29"/>
      <w:r>
        <w:rPr>
          <w:rFonts w:ascii="Times New Roman;Times;Serif" w:hAnsi="Times New Roman;Times;Serif"/>
          <w:b/>
          <w:i w:val="false"/>
          <w:caps/>
          <w:sz w:val="20"/>
        </w:rPr>
        <w:t>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an Internet site that contains reports, proxy and information statements, and other information regarding companies that file electronically with the SEC. We file annual, quarterly and current reports, proxy statements and other information with the SEC. Our SEC filings are available free of charge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investors.serverobotics.com</w:t>
      </w:r>
      <w:r>
        <w:rPr>
          <w:rFonts w:ascii="Times New Roman;Times;Serif" w:hAnsi="Times New Roman;Times;Serif"/>
          <w:b w:val="false"/>
          <w:i w:val="false"/>
          <w:caps w:val="false"/>
          <w:smallCaps w:val="false"/>
          <w:sz w:val="20"/>
        </w:rPr>
        <w:t xml:space="preserve"> where you can access our SEC filings free of charge. Information contained on, or that can be accessed through, our website is not a part of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relating to the securities covered by this base prospectus. This base prospectus is a part of the registration statement and does not contain all of the information in the registration statement. Other documents establishing the terms of the offered securities are or may be filed as exhibits to the registration statement or documents incorporated by reference in the registration statement. Whenever a reference is made in this base prospectus to a contract or other document of ours, the reference is only a summary and you should refer to the exhibits that are a part of the registration statement for a copy of the contract or other document. You may review a copy of the registration statement through the SEC’s website, as provided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0" w:name="b_016"/>
      <w:bookmarkEnd w:id="30"/>
      <w:r>
        <w:rPr>
          <w:rFonts w:ascii="Times New Roman;Times;Serif" w:hAnsi="Times New Roman;Times;Serif"/>
          <w:b/>
          <w:i w:val="false"/>
          <w:caps/>
          <w:sz w:val="20"/>
        </w:rPr>
        <w:t>INCORPORATION OF CERTAIN DOCUMENTS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and applicable law allows us to “incorporate by reference” the information from other documents we file with the SEC, which means that we can disclose important information to you by referring you to those documents instead of having to repeat the information in this base prospectus. The information incorporated by reference is considered to be part of this base prospectus, and later information that we file with the SEC will automatically update and supersede this information. We incorporate by reference the documents listed below and any future filings (including those made after the date of the initial filing of the registration statement of which this base prospectus is a part and prior to the effectiveness of such registration statement) we will make with the SEC under Sections 13(a), 13(c), 14, or 15(d) of the Exchange Act until the termination of the registration statement of which this base prospectus is a part (other than, in each case, documents or information deemed to have been furnished and not filed in accordance with SEC rules):</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Annual Report on Form 10-K for the fiscal year ended December 31, 2025 filed with the SEC on </w:t>
            </w:r>
            <w:hyperlink r:id="rId14">
              <w:r>
                <w:rPr>
                  <w:rStyle w:val="InternetLink"/>
                  <w:rFonts w:ascii="Times New Roman;Times;Serif" w:hAnsi="Times New Roman;Times;Serif"/>
                </w:rPr>
                <w:t>March 12, 2026</w:t>
              </w:r>
            </w:hyperlink>
            <w:r>
              <w:rPr>
                <w:rFonts w:ascii="Times New Roman;Times;Serif" w:hAnsi="Times New Roman;Times;Serif"/>
              </w:rPr>
              <w: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the information specifically incorporated by reference into our Annual Report on Form 10-K from our Definitive Proxy Statement on Schedule 14A, filed with the SEC on </w:t>
            </w:r>
            <w:hyperlink r:id="rId15">
              <w:r>
                <w:rPr>
                  <w:rStyle w:val="InternetLink"/>
                  <w:rFonts w:ascii="Times New Roman;Times;Serif" w:hAnsi="Times New Roman;Times;Serif"/>
                </w:rPr>
                <w:t>April 24, 2026;</w:t>
              </w:r>
            </w:hyperlink>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Quarterly Report on Form 10-Q for the quarter ended March 31, 2026 filed with the SEC on </w:t>
            </w:r>
            <w:hyperlink r:id="rId16">
              <w:r>
                <w:rPr>
                  <w:rStyle w:val="InternetLink"/>
                  <w:rFonts w:ascii="Times New Roman;Times;Serif" w:hAnsi="Times New Roman;Times;Serif"/>
                </w:rPr>
                <w:t>May 7, 2026</w:t>
              </w:r>
            </w:hyperlink>
            <w:r>
              <w:rPr>
                <w:rFonts w:ascii="Times New Roman;Times;Serif" w:hAnsi="Times New Roman;Times;Serif"/>
              </w:rPr>
              <w:t>;</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our Current Reports on Form 8-K filed with the SEC on </w:t>
            </w:r>
            <w:hyperlink r:id="rId17">
              <w:r>
                <w:rPr>
                  <w:rStyle w:val="InternetLink"/>
                  <w:rFonts w:ascii="Times New Roman;Times;Serif" w:hAnsi="Times New Roman;Times;Serif"/>
                </w:rPr>
                <w:t>January 21, 2026</w:t>
              </w:r>
            </w:hyperlink>
            <w:r>
              <w:rPr>
                <w:rFonts w:ascii="Times New Roman;Times;Serif" w:hAnsi="Times New Roman;Times;Serif"/>
              </w:rPr>
              <w:t xml:space="preserve">, </w:t>
            </w:r>
            <w:hyperlink r:id="rId18">
              <w:r>
                <w:rPr>
                  <w:rStyle w:val="InternetLink"/>
                  <w:rFonts w:ascii="Times New Roman;Times;Serif" w:hAnsi="Times New Roman;Times;Serif"/>
                </w:rPr>
                <w:t>January 29, 2026</w:t>
              </w:r>
            </w:hyperlink>
            <w:r>
              <w:rPr>
                <w:rFonts w:ascii="Times New Roman;Times;Serif" w:hAnsi="Times New Roman;Times;Serif"/>
              </w:rPr>
              <w:t xml:space="preserve"> (as amended </w:t>
            </w:r>
            <w:hyperlink r:id="rId19">
              <w:r>
                <w:rPr>
                  <w:rStyle w:val="InternetLink"/>
                  <w:rFonts w:ascii="Times New Roman;Times;Serif" w:hAnsi="Times New Roman;Times;Serif"/>
                </w:rPr>
                <w:t>April 14, 2026</w:t>
              </w:r>
            </w:hyperlink>
            <w:r>
              <w:rPr>
                <w:rFonts w:ascii="Times New Roman;Times;Serif" w:hAnsi="Times New Roman;Times;Serif"/>
              </w:rPr>
              <w:t xml:space="preserve">), </w:t>
            </w:r>
            <w:hyperlink r:id="rId20">
              <w:r>
                <w:rPr>
                  <w:rStyle w:val="InternetLink"/>
                  <w:rFonts w:ascii="Times New Roman;Times;Serif" w:hAnsi="Times New Roman;Times;Serif"/>
                </w:rPr>
                <w:t>February 20, 2026</w:t>
              </w:r>
            </w:hyperlink>
            <w:r>
              <w:rPr>
                <w:rFonts w:ascii="Times New Roman;Times;Serif" w:hAnsi="Times New Roman;Times;Serif"/>
              </w:rPr>
              <w:t xml:space="preserve">, and </w:t>
            </w:r>
            <w:hyperlink r:id="rId21">
              <w:r>
                <w:rPr>
                  <w:rStyle w:val="InternetLink"/>
                  <w:rFonts w:ascii="Times New Roman;Times;Serif" w:hAnsi="Times New Roman;Times;Serif"/>
                </w:rPr>
                <w:t>May 11, 2026</w:t>
              </w:r>
            </w:hyperlink>
            <w:r>
              <w:rPr>
                <w:rFonts w:ascii="Times New Roman;Times;Serif" w:hAnsi="Times New Roman;Times;Serif"/>
              </w:rPr>
              <w:t xml:space="preserve"> (in each case, except for information contained therein which is furnished rather than filed); and</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Times New Roman;Times;Serif" w:hAnsi="Times New Roman;Times;Serif"/>
              </w:rPr>
              <w:t xml:space="preserve">the description of our common stock contained in </w:t>
            </w:r>
            <w:hyperlink r:id="rId22">
              <w:r>
                <w:rPr>
                  <w:rStyle w:val="InternetLink"/>
                  <w:rFonts w:ascii="Times New Roman;Times;Serif" w:hAnsi="Times New Roman;Times;Serif"/>
                </w:rPr>
                <w:t>Exhibit 4.8</w:t>
              </w:r>
            </w:hyperlink>
            <w:r>
              <w:rPr>
                <w:rFonts w:ascii="Times New Roman;Times;Serif" w:hAnsi="Times New Roman;Times;Serif"/>
              </w:rPr>
              <w:t xml:space="preserve"> to the Annual Report on </w:t>
            </w:r>
            <w:hyperlink r:id="rId23">
              <w:r>
                <w:rPr>
                  <w:rStyle w:val="InternetLink"/>
                  <w:rFonts w:ascii="Times New Roman;Times;Serif" w:hAnsi="Times New Roman;Times;Serif"/>
                </w:rPr>
                <w:t>Form 10-K</w:t>
              </w:r>
            </w:hyperlink>
            <w:r>
              <w:rPr>
                <w:rFonts w:ascii="Times New Roman;Times;Serif" w:hAnsi="Times New Roman;Times;Serif"/>
              </w:rPr>
              <w:t xml:space="preserve"> for the year ended December 31, 2023 filed with the SEC on February 29, 2024, and including any other amendments or reports filed for the purpose of updating such description.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base prospectus, or in a document all or a portion of which is incorporated by reference, shall be modified or superseded for purposes of this base prospectus to the extent that a statement contained in this base prospectus, any applicable prospectus supplement and any related free writing prospectus or any document incorporated by reference modifies or supersedes such statement. Any such statement so modified or superseded shall not, except as so modified or superseded, constitute a part of this base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or oral request, we will provide, without charge, to each person, including any beneficial owner, to whom a copy of this base prospectus is delivered, a copy of the documents incorporated by reference into this base prospectus but not delivered with this base prospectus. You may request a copy of these filings, and any exhibits we have specifically incorporated by reference as an exhibit in this base prospectus, at no cost to you by writing or telephoning us at the following: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br/>
        <w:t>730 Broadway</w:t>
        <w:br/>
        <w:t>Redwood City, California 94063</w:t>
        <w:br/>
        <w:t>Attn: Brian Read, Chief Financial Officer</w:t>
        <w:br/>
        <w:t>(818) 860-1352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these documents, free of charge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or on our website at </w:t>
      </w:r>
      <w:r>
        <w:rPr>
          <w:rFonts w:ascii="Times New Roman;Times;Serif" w:hAnsi="Times New Roman;Times;Serif"/>
          <w:b w:val="false"/>
          <w:i/>
          <w:caps w:val="false"/>
          <w:smallCaps w:val="false"/>
          <w:sz w:val="20"/>
        </w:rPr>
        <w:t>investors.serverobotics.com</w:t>
      </w:r>
      <w:r>
        <w:rPr>
          <w:rFonts w:ascii="Times New Roman;Times;Serif" w:hAnsi="Times New Roman;Times;Serif"/>
          <w:b w:val="false"/>
          <w:i w:val="false"/>
          <w:caps w:val="false"/>
          <w:smallCaps w:val="false"/>
          <w:sz w:val="20"/>
        </w:rPr>
        <w:t>. Information contained on our website is not incorporated by reference into this base prospectus, and you should not consider any information on, or that can be accessed from, our website as part of this base prospectus or any accompanying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38350" cy="76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2038350" cy="762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PROSPECTUS SUPPLEMENT</w:t>
      </w:r>
    </w:p>
    <w:p>
      <w:pPr>
        <w:pStyle w:val="TextBody"/>
        <w:bidi w:val="0"/>
        <w:spacing w:before="0" w:after="0"/>
        <w:ind w:left="0" w:right="0" w:hanging="0"/>
        <w:jc w:val="center"/>
        <w:rPr>
          <w:caps/>
        </w:rPr>
      </w:pPr>
      <w:r>
        <w:rPr>
          <w:caps/>
        </w:rPr>
        <w:t> </w:t>
      </w:r>
    </w:p>
    <w:tbl>
      <w:tblPr>
        <w:tblW w:w="6945" w:type="dxa"/>
        <w:jc w:val="left"/>
        <w:tblInd w:w="0" w:type="dxa"/>
        <w:tblLayout w:type="fixed"/>
        <w:tblCellMar>
          <w:top w:w="0" w:type="dxa"/>
          <w:left w:w="0" w:type="dxa"/>
          <w:bottom w:w="0" w:type="dxa"/>
          <w:right w:w="0" w:type="dxa"/>
        </w:tblCellMar>
      </w:tblPr>
      <w:tblGrid>
        <w:gridCol w:w="1580"/>
        <w:gridCol w:w="2825"/>
        <w:gridCol w:w="2540"/>
      </w:tblGrid>
      <w:tr>
        <w:trPr/>
        <w:tc>
          <w:tcPr>
            <w:tcW w:w="1580"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Evercore ISI</w:t>
            </w:r>
          </w:p>
        </w:tc>
        <w:tc>
          <w:tcPr>
            <w:tcW w:w="2825"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Guggenheim Securities</w:t>
            </w:r>
          </w:p>
        </w:tc>
        <w:tc>
          <w:tcPr>
            <w:tcW w:w="2540"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Oppenheimer &amp; Co.</w:t>
            </w:r>
          </w:p>
        </w:tc>
      </w:tr>
    </w:tbl>
    <w:p>
      <w:pPr>
        <w:pStyle w:val="TextBody"/>
        <w:bidi w:val="0"/>
        <w:spacing w:before="0" w:after="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3395"/>
        <w:gridCol w:w="2420"/>
        <w:gridCol w:w="75"/>
      </w:tblGrid>
      <w:tr>
        <w:trPr/>
        <w:tc>
          <w:tcPr>
            <w:tcW w:w="75"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Northland Capital Markets</w:t>
            </w:r>
          </w:p>
        </w:tc>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Wedbush Securities</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0001832483/000183248326000010/patr-20251231.htm" TargetMode="External"/><Relationship Id="rId4" Type="http://schemas.openxmlformats.org/officeDocument/2006/relationships/hyperlink" Target="http://www.sec.gov/ix?doc=/Archives/edgar/data/0001832483/000114036126016694/ny20064047x1_def14a.htm" TargetMode="External"/><Relationship Id="rId5" Type="http://schemas.openxmlformats.org/officeDocument/2006/relationships/hyperlink" Target="http://www.sec.gov/ix?doc=/Archives/edgar/data/1832483/000183248326000019/serv-20260331.htm" TargetMode="External"/><Relationship Id="rId6" Type="http://schemas.openxmlformats.org/officeDocument/2006/relationships/hyperlink" Target="https://www.sec.gov/ix?doc=/Archives/edgar/data/0001832483/000121390026005920/ea0273454-8k_serve.htm" TargetMode="External"/><Relationship Id="rId7" Type="http://schemas.openxmlformats.org/officeDocument/2006/relationships/hyperlink" Target="https://www.sec.gov/ix?doc=/Archives/edgar/data/0001832483/000121390026009480/ea0274698-8k_serve.htm" TargetMode="External"/><Relationship Id="rId8" Type="http://schemas.openxmlformats.org/officeDocument/2006/relationships/hyperlink" Target="https://www.sec.gov/ix?doc=/Archives/edgar/data/0001832483/000121390026043149/ea0283053-8ka1_serve.htm" TargetMode="External"/><Relationship Id="rId9" Type="http://schemas.openxmlformats.org/officeDocument/2006/relationships/hyperlink" Target="https://www.sec.gov/ix?doc=/Archives/edgar/data/0001832483/000121390026018806/ea0277713-8k_serve.htm" TargetMode="External"/><Relationship Id="rId10" Type="http://schemas.openxmlformats.org/officeDocument/2006/relationships/hyperlink" Target="https://www.sec.gov/ix?doc=/Archives/edgar/data/1832483/000121390026054200/ea028960901-8k_serve.htm" TargetMode="External"/><Relationship Id="rId11" Type="http://schemas.openxmlformats.org/officeDocument/2006/relationships/hyperlink" Target="http://www.sec.gov/Archives/edgar/data/1832483/000121390024018566/ea0200355ex4-8_serverobot.htm" TargetMode="External"/><Relationship Id="rId12" Type="http://schemas.openxmlformats.org/officeDocument/2006/relationships/hyperlink" Target="https://www.sec.gov/ix?doc=/Archives/edgar/data/0001832483/000121390024018566/ea0200355-10k_serverobot.htm" TargetMode="External"/><Relationship Id="rId13" Type="http://schemas.openxmlformats.org/officeDocument/2006/relationships/image" Target="media/image2.jpeg"/><Relationship Id="rId14" Type="http://schemas.openxmlformats.org/officeDocument/2006/relationships/hyperlink" Target="https://www.sec.gov/ix?doc=/Archives/edgar/data/0001832483/000183248326000010/patr-20251231.htm" TargetMode="External"/><Relationship Id="rId15" Type="http://schemas.openxmlformats.org/officeDocument/2006/relationships/hyperlink" Target="http://www.sec.gov/ix?doc=/Archives/edgar/data/0001832483/000114036126016694/ny20064047x1_def14a.htm" TargetMode="External"/><Relationship Id="rId16" Type="http://schemas.openxmlformats.org/officeDocument/2006/relationships/hyperlink" Target="http://www.sec.gov/ix?doc=/Archives/edgar/data/1832483/000183248326000019/serv-20260331.htm" TargetMode="External"/><Relationship Id="rId17" Type="http://schemas.openxmlformats.org/officeDocument/2006/relationships/hyperlink" Target="https://www.sec.gov/ix?doc=/Archives/edgar/data/0001832483/000121390026005920/ea0273454-8k_serve.htm" TargetMode="External"/><Relationship Id="rId18" Type="http://schemas.openxmlformats.org/officeDocument/2006/relationships/hyperlink" Target="https://www.sec.gov/ix?doc=/Archives/edgar/data/0001832483/000121390026009480/ea0274698-8k_serve.htm" TargetMode="External"/><Relationship Id="rId19" Type="http://schemas.openxmlformats.org/officeDocument/2006/relationships/hyperlink" Target="https://www.sec.gov/ix?doc=/Archives/edgar/data/0001832483/000121390026043149/ea0283053-8ka1_serve.htm" TargetMode="External"/><Relationship Id="rId20" Type="http://schemas.openxmlformats.org/officeDocument/2006/relationships/hyperlink" Target="https://www.sec.gov/ix?doc=/Archives/edgar/data/0001832483/000121390026018806/ea0277713-8k_serve.htm" TargetMode="External"/><Relationship Id="rId21" Type="http://schemas.openxmlformats.org/officeDocument/2006/relationships/hyperlink" Target="https://www.sec.gov/ix?doc=/Archives/edgar/data/1832483/000121390026054200/ea028960901-8k_serve.htm" TargetMode="External"/><Relationship Id="rId22" Type="http://schemas.openxmlformats.org/officeDocument/2006/relationships/hyperlink" Target="https://www.sec.gov/ix?doc=/Archives/edgar/data/0001832483/000121390024018566/ea0200355-10k_serverobot.htm" TargetMode="External"/><Relationship Id="rId23" Type="http://schemas.openxmlformats.org/officeDocument/2006/relationships/hyperlink" Target="https://www.sec.gov/ix?doc=/Archives/edgar/data/0001832483/000121390024018566/ea0200355-10k_serverobot.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27576</Words>
  <Characters>145473</Characters>
  <CharactersWithSpaces>172843</CharactersWithSpaces>
  <Paragraphs>1538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