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8609.xml.htm"/>
      <w:bookmarkStart w:id="1" w:name="kswkform4_17818186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Vincent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SERVE ROBOTICS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1360 BAYPORT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Serve Robotics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restricted stock unit award ("RSU"). The RSU will vest in full on the earlier to occur of (i) the Issuer's next annual shareholder meeting or (ii) June 17,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Jongmin Char, as attorney-in-fact for Olivier Vincent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24" TargetMode="External"/><Relationship Id="rId5" Type="http://schemas.openxmlformats.org/officeDocument/2006/relationships/hyperlink" Target="http://www.sec.gov/cgi-bin/browse-edgar?action=getcompany&amp;CIK=00018324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3253</Characters>
  <CharactersWithSpaces>3796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