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203588-s1a2_serverob.htm"/>
      <w:bookmarkStart w:id="1" w:name="ksea0203588s1a2_serverob"/>
      <w:bookmarkEnd w:id="0"/>
      <w:bookmarkEnd w:id="1"/>
      <w:r>
        <w:rPr>
          <w:rFonts w:ascii="Times New Roman;Times;Serif" w:hAnsi="Times New Roman;Times;Serif"/>
          <w:b/>
          <w:i w:val="false"/>
          <w:caps w:val="false"/>
          <w:smallCaps w:val="false"/>
          <w:sz w:val="20"/>
        </w:rPr>
        <w:t>As filed with the Securities and Exchange Commission on April 12, 2024.</w:t>
      </w:r>
    </w:p>
    <w:p>
      <w:pPr>
        <w:pStyle w:val="TextBody"/>
        <w:bidi w:val="0"/>
        <w:spacing w:before="0" w:after="0"/>
        <w:ind w:left="0" w:right="0" w:hanging="0"/>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Registration Number 333-277809</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UNITED STATES</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SECURITIES AND EXCHANGE COMMISSION</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Amendment No. 2</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to</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S-1</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REGISTRATION STATEMENT</w:t>
      </w:r>
    </w:p>
    <w:p>
      <w:pPr>
        <w:pStyle w:val="TextBody"/>
        <w:bidi w:val="0"/>
        <w:spacing w:before="0" w:after="0"/>
        <w:ind w:left="0" w:right="0" w:hanging="0"/>
        <w:jc w:val="center"/>
        <w:rPr>
          <w:rFonts w:ascii="Times New Roman;Times;Serif" w:hAnsi="Times New Roman;Times;Serif"/>
          <w:b/>
          <w:i/>
          <w:smallCaps/>
          <w:sz w:val="20"/>
        </w:rPr>
      </w:pPr>
      <w:r>
        <w:rPr>
          <w:rFonts w:ascii="Times New Roman;Times;Serif" w:hAnsi="Times New Roman;Times;Serif"/>
          <w:b/>
          <w:i/>
          <w:smallCaps/>
          <w:sz w:val="20"/>
        </w:rPr>
        <w:t>UNDER</w:t>
      </w:r>
    </w:p>
    <w:p>
      <w:pPr>
        <w:pStyle w:val="TextBody"/>
        <w:bidi w:val="0"/>
        <w:spacing w:before="0" w:after="0"/>
        <w:ind w:left="0" w:right="0" w:hanging="0"/>
        <w:jc w:val="center"/>
        <w:rPr>
          <w:rFonts w:ascii="Times New Roman;Times;Serif" w:hAnsi="Times New Roman;Times;Serif"/>
          <w:b/>
          <w:i/>
          <w:smallCaps/>
          <w:sz w:val="20"/>
        </w:rPr>
      </w:pPr>
      <w:r>
        <w:rPr>
          <w:rFonts w:ascii="Times New Roman;Times;Serif" w:hAnsi="Times New Roman;Times;Serif"/>
          <w:b/>
          <w:i/>
          <w:smallCaps/>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36"/>
        </w:rPr>
      </w:pPr>
      <w:r>
        <w:rPr>
          <w:rFonts w:ascii="Times New Roman;Times;Serif" w:hAnsi="Times New Roman;Times;Serif"/>
          <w:b/>
          <w:i w:val="false"/>
          <w:smallCaps/>
          <w:sz w:val="36"/>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3125"/>
        <w:gridCol w:w="60"/>
        <w:gridCol w:w="3035"/>
        <w:gridCol w:w="60"/>
        <w:gridCol w:w="2375"/>
      </w:tblGrid>
      <w:tr>
        <w:trPr/>
        <w:tc>
          <w:tcPr>
            <w:tcW w:w="3125"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3035" w:type="dxa"/>
            <w:tcBorders>
              <w:bottom w:val="single" w:sz="12" w:space="0" w:color="000000"/>
            </w:tcBorders>
            <w:vAlign w:val="center"/>
          </w:tcPr>
          <w:p>
            <w:pPr>
              <w:pStyle w:val="TableContents"/>
              <w:bidi w:val="0"/>
              <w:spacing w:before="0" w:after="283"/>
              <w:jc w:val="center"/>
              <w:rPr>
                <w:b/>
              </w:rPr>
            </w:pPr>
            <w:r>
              <w:rPr>
                <w:b/>
              </w:rPr>
              <w:t>3790</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12" w:space="0" w:color="000000"/>
            </w:tcBorders>
            <w:vAlign w:val="center"/>
          </w:tcPr>
          <w:p>
            <w:pPr>
              <w:pStyle w:val="TableContents"/>
              <w:bidi w:val="0"/>
              <w:spacing w:before="0" w:after="283"/>
              <w:jc w:val="center"/>
              <w:rPr>
                <w:b/>
              </w:rPr>
            </w:pPr>
            <w:r>
              <w:rPr>
                <w:b/>
              </w:rPr>
              <w:t>85-3844872</w:t>
            </w:r>
          </w:p>
        </w:tc>
      </w:tr>
      <w:tr>
        <w:trPr/>
        <w:tc>
          <w:tcPr>
            <w:tcW w:w="3125" w:type="dxa"/>
            <w:tcBorders/>
            <w:tcMar>
              <w:bottom w:w="0" w:type="dxa"/>
            </w:tcMar>
            <w:vAlign w:val="center"/>
          </w:tcPr>
          <w:p>
            <w:pPr>
              <w:pStyle w:val="TableContents"/>
              <w:bidi w:val="0"/>
              <w:spacing w:before="0" w:after="283"/>
              <w:jc w:val="center"/>
              <w:rPr>
                <w:b/>
              </w:rPr>
            </w:pPr>
            <w:r>
              <w:rPr>
                <w:b/>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3035" w:type="dxa"/>
            <w:tcBorders/>
            <w:tcMar>
              <w:bottom w:w="0" w:type="dxa"/>
            </w:tcMar>
            <w:vAlign w:val="center"/>
          </w:tcPr>
          <w:p>
            <w:pPr>
              <w:pStyle w:val="TableContents"/>
              <w:bidi w:val="0"/>
              <w:spacing w:before="0" w:after="283"/>
              <w:jc w:val="center"/>
              <w:rPr>
                <w:b/>
              </w:rPr>
            </w:pPr>
            <w:r>
              <w:rPr>
                <w:b/>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730 Broadway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Redwood City, CA 94063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(818) 860-1352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 Kashani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730 Broadway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Redwood City, California 94063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(818) 860-1352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Copies to</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3050"/>
        <w:gridCol w:w="3500"/>
      </w:tblGrid>
      <w:tr>
        <w:trPr/>
        <w:tc>
          <w:tcPr>
            <w:tcW w:w="305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Albert Vanderlaan,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Orrick, Herrington &amp; Sutcliffe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 Berkeley St., Suite 2000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02116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880-2219</w:t>
            </w:r>
          </w:p>
        </w:tc>
        <w:tc>
          <w:tcPr>
            <w:tcW w:w="35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Barrett DiPaolo,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Sichenzia Ross Ference Carmel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1185 Avenue of the Americas, 31st Floor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(212) 930-9700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We may not sell these securities pursuant to this prospectus until the registration statement filed with the Securities and Exchange Commission becomes effective. This preliminary prospectus is not an offer to sell these securities and is not soliciting offers to buy these securities in any jurisdiction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COMPLETION, DATED APRIL 12,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$40,000,000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478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public offering of shares of common stock by Serve Robotics Inc. We are offering 8,888,889 shares of our common stock (based upon the assumed public offering price of $4.50 per share (the closing price of our common stock on April 5, 2024 on the OTCQB)).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quoted on the OTCQB Market operated by OTC Markets Group Inc. under the symbol “SBOT”. On April 5, 2024, the closing price of our common stock on the OTCQB was $4.50 per share. In connection with this offering, we have applied to list our common stock on The Nasdaq Stock Market, LLC (“Nasdaq”) under the symbol “SERV”. Accordingly, we expect our common stock to begin trading on The Nasdaq Capital Market on or around the date of this prospectus, at which point our common stock will cease to be traded on the OTCQB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and a “smaller reporting company” as defined under the federal securities laws and, as such, are eligible for reduced public company reporting requirements. See “</w:t>
      </w:r>
      <w:r>
        <w:rPr>
          <w:rFonts w:ascii="Times New Roman;Times;Serif" w:hAnsi="Times New Roman;Times;Serif"/>
          <w:b/>
          <w:i/>
          <w:caps w:val="false"/>
          <w:smallCaps w:val="false"/>
          <w:sz w:val="20"/>
        </w:rPr>
        <w:t>Prospectus Summary — Implications of Being an Emerging Growth Company and a Smaller Reporting Company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 investment decision, please read “Risk Factors” on page 13 of this prospectus.</w:t>
      </w:r>
    </w:p>
    <w:p>
      <w:pPr>
        <w:pStyle w:val="TextBody"/>
        <w:bidi w:val="0"/>
        <w:spacing w:before="0" w:after="0"/>
        <w:ind w:left="0" w:right="0" w:hanging="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4625"/>
        <w:gridCol w:w="60"/>
        <w:gridCol w:w="140"/>
        <w:gridCol w:w="995"/>
        <w:gridCol w:w="60"/>
        <w:gridCol w:w="60"/>
        <w:gridCol w:w="140"/>
        <w:gridCol w:w="560"/>
        <w:gridCol w:w="75"/>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Underwriting discounts and commissions</w:t>
            </w:r>
            <w:r>
              <w:rPr>
                <w:position w:val="8"/>
                <w:sz w:val="19"/>
              </w:rPr>
              <w:t>(1)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Proceeds to Serve Robotics Inc. before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osition w:val="8"/>
                <w:sz w:val="19"/>
              </w:rPr>
            </w:pPr>
            <w:r>
              <w:rPr>
                <w:position w:val="8"/>
                <w:sz w:val="19"/>
              </w:rPr>
              <w:t>(1)</w:t>
            </w:r>
          </w:p>
        </w:tc>
        <w:tc>
          <w:tcPr>
            <w:tcW w:w="9961" w:type="dxa"/>
            <w:tcBorders/>
            <w:vAlign w:val="center"/>
          </w:tcPr>
          <w:p>
            <w:pPr>
              <w:pStyle w:val="TableContents"/>
              <w:bidi w:val="0"/>
              <w:spacing w:before="0" w:after="283"/>
              <w:jc w:val="both"/>
              <w:rPr/>
            </w:pPr>
            <w:r>
              <w:rPr/>
              <w:t>The underwriting discount does not include a non-accountable expense allowance of 1.0% of the gross proceeds of the shares sold in the offering. See the section titled “Underwriting” for a description of the compensation payable to the underwriter.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and their affiliates have indicated an interest in purchasing shares of common stock in this offering with an aggregate value of approximately $4.5 million at the assumed public offering price. However, because indications of interest are not binding agreements or commitments to purchase, the underwriter may determine to sell more, fewer or no shares in this offering to any of these parties, or any of these parties may determine to purchase more, fewer or no shares in this offering. The underwriter will receive the same underwriting discount on any shares purchased by these parties as they will on any other shares sold to the public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for a period of 45 days after the closing date of the offering to purchase up to an additional 1,333,333 shares of our common stock (based upon the assumed public offering price of $4.50 per share (the closing price of our common stock on April 5, 2024 on the OTCQB)) at the assumed public offering price, less the underwriting discounts and commissions, solely to cover over-allotments,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expects to deliver the shares of common stock to purchasers on or about            ,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Aegis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455"/>
      </w:tblGrid>
      <w:tr>
        <w:trPr/>
        <w:tc>
          <w:tcPr>
            <w:tcW w:w="9470" w:type="dxa"/>
            <w:tcBorders/>
            <w:vAlign w:val="center"/>
          </w:tcPr>
          <w:p>
            <w:pPr>
              <w:pStyle w:val="TableContents"/>
              <w:bidi w:val="0"/>
              <w:spacing w:before="0" w:after="283"/>
              <w:ind w:left="0" w:right="0" w:hanging="180"/>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47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w:t>
            </w:r>
          </w:p>
        </w:tc>
      </w:tr>
      <w:tr>
        <w:trPr/>
        <w:tc>
          <w:tcPr>
            <w:tcW w:w="947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47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THE OFFERING</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w:t>
            </w:r>
          </w:p>
        </w:tc>
      </w:tr>
      <w:tr>
        <w:trPr/>
        <w:tc>
          <w:tcPr>
            <w:tcW w:w="9470"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SUMMARY FINANCIAL AND OTHER DATA</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11</w:t>
            </w:r>
          </w:p>
        </w:tc>
      </w:tr>
      <w:tr>
        <w:trPr/>
        <w:tc>
          <w:tcPr>
            <w:tcW w:w="947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13</w:t>
            </w:r>
          </w:p>
        </w:tc>
      </w:tr>
      <w:tr>
        <w:trPr/>
        <w:tc>
          <w:tcPr>
            <w:tcW w:w="9470"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SPECIAL NOTE REGARDING FORWARD-LOOKING STATEMENTS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41</w:t>
            </w:r>
          </w:p>
        </w:tc>
      </w:tr>
      <w:tr>
        <w:trPr/>
        <w:tc>
          <w:tcPr>
            <w:tcW w:w="947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THE MERGER, THE PRIVATE PLACEMENT, AND RELATED TRANSACTIONS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42</w:t>
            </w:r>
          </w:p>
        </w:tc>
      </w:tr>
      <w:tr>
        <w:trPr/>
        <w:tc>
          <w:tcPr>
            <w:tcW w:w="9470"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46</w:t>
            </w:r>
          </w:p>
        </w:tc>
      </w:tr>
      <w:tr>
        <w:trPr/>
        <w:tc>
          <w:tcPr>
            <w:tcW w:w="947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BUSINESS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57</w:t>
            </w:r>
          </w:p>
        </w:tc>
      </w:tr>
      <w:tr>
        <w:trPr/>
        <w:tc>
          <w:tcPr>
            <w:tcW w:w="9470"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MANAGEMENT</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74</w:t>
            </w:r>
          </w:p>
        </w:tc>
      </w:tr>
      <w:tr>
        <w:trPr/>
        <w:tc>
          <w:tcPr>
            <w:tcW w:w="947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EXECUTIVE AND DIRECTOR COMPENSATION</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79</w:t>
            </w:r>
          </w:p>
        </w:tc>
      </w:tr>
      <w:tr>
        <w:trPr/>
        <w:tc>
          <w:tcPr>
            <w:tcW w:w="9470"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CERTAIN RELATIONSHIPS AND RELATED PARTY TRANSACTIONS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94</w:t>
            </w:r>
          </w:p>
        </w:tc>
      </w:tr>
      <w:tr>
        <w:trPr/>
        <w:tc>
          <w:tcPr>
            <w:tcW w:w="947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97</w:t>
            </w:r>
          </w:p>
        </w:tc>
      </w:tr>
      <w:tr>
        <w:trPr/>
        <w:tc>
          <w:tcPr>
            <w:tcW w:w="9470"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DIVIDEND POLICY</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98</w:t>
            </w:r>
          </w:p>
        </w:tc>
      </w:tr>
      <w:tr>
        <w:trPr/>
        <w:tc>
          <w:tcPr>
            <w:tcW w:w="947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CAPITALIZATION</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99</w:t>
            </w:r>
          </w:p>
        </w:tc>
      </w:tr>
      <w:tr>
        <w:trPr/>
        <w:tc>
          <w:tcPr>
            <w:tcW w:w="9470"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DILUTION</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101</w:t>
            </w:r>
          </w:p>
        </w:tc>
      </w:tr>
      <w:tr>
        <w:trPr/>
        <w:tc>
          <w:tcPr>
            <w:tcW w:w="9470" w:type="dxa"/>
            <w:tcBorders/>
            <w:shd w:fill="CCEEFF" w:val="clear"/>
            <w:vAlign w:val="center"/>
          </w:tcPr>
          <w:p>
            <w:pPr>
              <w:pStyle w:val="TableContents"/>
              <w:bidi w:val="0"/>
              <w:spacing w:before="0" w:after="283"/>
              <w:jc w:val="left"/>
              <w:rPr/>
            </w:pPr>
            <w:hyperlink w:anchor="a_017">
              <w:r>
                <w:rPr>
                  <w:rStyle w:val="InternetLink"/>
                </w:rPr>
                <w:t>MARKET INFORMATION FOR OUR COMMON STOCK</w:t>
              </w:r>
            </w:hyperlink>
          </w:p>
        </w:tc>
        <w:tc>
          <w:tcPr>
            <w:tcW w:w="455" w:type="dxa"/>
            <w:tcBorders/>
            <w:shd w:fill="CCEEFF" w:val="clear"/>
            <w:vAlign w:val="center"/>
          </w:tcPr>
          <w:p>
            <w:pPr>
              <w:pStyle w:val="TableContents"/>
              <w:bidi w:val="0"/>
              <w:spacing w:before="0" w:after="283"/>
              <w:ind w:left="0" w:right="0" w:hanging="180"/>
              <w:jc w:val="center"/>
              <w:rPr/>
            </w:pPr>
            <w:r>
              <w:rPr/>
              <w:t>104</w:t>
            </w:r>
          </w:p>
        </w:tc>
      </w:tr>
      <w:tr>
        <w:trPr/>
        <w:tc>
          <w:tcPr>
            <w:tcW w:w="9470"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PRINCIPAL STOCKHOLDERS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105</w:t>
            </w:r>
          </w:p>
        </w:tc>
      </w:tr>
      <w:tr>
        <w:trPr/>
        <w:tc>
          <w:tcPr>
            <w:tcW w:w="947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DESCRIPTION OF CAPITAL STOCK</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107</w:t>
            </w:r>
          </w:p>
        </w:tc>
      </w:tr>
      <w:tr>
        <w:trPr/>
        <w:tc>
          <w:tcPr>
            <w:tcW w:w="9470"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SHARES ELIGIBLE FOR FUTURE SALE</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113</w:t>
            </w:r>
          </w:p>
        </w:tc>
      </w:tr>
      <w:tr>
        <w:trPr/>
        <w:tc>
          <w:tcPr>
            <w:tcW w:w="9470"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CERTAIN U.S. FEDERAL INCOME TAX CONSIDERATIONS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116</w:t>
            </w:r>
          </w:p>
        </w:tc>
      </w:tr>
      <w:tr>
        <w:trPr/>
        <w:tc>
          <w:tcPr>
            <w:tcW w:w="9470" w:type="dxa"/>
            <w:tcBorders/>
            <w:vAlign w:val="center"/>
          </w:tcPr>
          <w:p>
            <w:pPr>
              <w:pStyle w:val="TableContents"/>
              <w:bidi w:val="0"/>
              <w:spacing w:before="0" w:after="283"/>
              <w:jc w:val="left"/>
              <w:rPr/>
            </w:pPr>
            <w:hyperlink w:anchor="a_022">
              <w:r>
                <w:rPr>
                  <w:rStyle w:val="InternetLink"/>
                  <w:rFonts w:ascii="Times New Roman;Times;Serif" w:hAnsi="Times New Roman;Times;Serif"/>
                  <w:sz w:val="20"/>
                </w:rPr>
                <w:t>UNDERWRITING</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120</w:t>
            </w:r>
          </w:p>
        </w:tc>
      </w:tr>
      <w:tr>
        <w:trPr/>
        <w:tc>
          <w:tcPr>
            <w:tcW w:w="9470"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123</w:t>
            </w:r>
          </w:p>
        </w:tc>
      </w:tr>
      <w:tr>
        <w:trPr/>
        <w:tc>
          <w:tcPr>
            <w:tcW w:w="9470" w:type="dxa"/>
            <w:tcBorders/>
            <w:vAlign w:val="center"/>
          </w:tcPr>
          <w:p>
            <w:pPr>
              <w:pStyle w:val="TableContents"/>
              <w:bidi w:val="0"/>
              <w:spacing w:before="0" w:after="283"/>
              <w:jc w:val="left"/>
              <w:rPr/>
            </w:pPr>
            <w:hyperlink w:anchor="a_024">
              <w:r>
                <w:rPr>
                  <w:rStyle w:val="InternetLink"/>
                  <w:rFonts w:ascii="Times New Roman;Times;Serif" w:hAnsi="Times New Roman;Times;Serif"/>
                  <w:sz w:val="20"/>
                </w:rPr>
                <w:t>EXPERTS</w:t>
              </w:r>
            </w:hyperlink>
          </w:p>
        </w:tc>
        <w:tc>
          <w:tcPr>
            <w:tcW w:w="45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123</w:t>
            </w:r>
          </w:p>
        </w:tc>
      </w:tr>
      <w:tr>
        <w:trPr/>
        <w:tc>
          <w:tcPr>
            <w:tcW w:w="9470"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123</w:t>
            </w:r>
          </w:p>
        </w:tc>
      </w:tr>
      <w:tr>
        <w:trPr/>
        <w:tc>
          <w:tcPr>
            <w:tcW w:w="9470" w:type="dxa"/>
            <w:tcBorders/>
            <w:vAlign w:val="center"/>
          </w:tcPr>
          <w:p>
            <w:pPr>
              <w:pStyle w:val="TableContents"/>
              <w:bidi w:val="0"/>
              <w:spacing w:before="0" w:after="283"/>
              <w:jc w:val="left"/>
              <w:rPr/>
            </w:pPr>
            <w:hyperlink w:anchor="a_030">
              <w:r>
                <w:rPr>
                  <w:rStyle w:val="InternetLink"/>
                  <w:rFonts w:ascii="Times New Roman;Times;Serif" w:hAnsi="Times New Roman;Times;Serif"/>
                  <w:sz w:val="20"/>
                </w:rPr>
                <w:t>INDEX TO FINANCIAL STATEMENTS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 w:name="a_001"/>
      <w:bookmarkEnd w:id="2"/>
      <w:r>
        <w:rPr>
          <w:rFonts w:ascii="Times New Roman;Times;Serif" w:hAnsi="Times New Roman;Times;Serif"/>
          <w:b/>
          <w:i w:val="false"/>
          <w:smallCaps/>
          <w:sz w:val="20"/>
        </w:rPr>
        <w:t>ABOUT THIS PROSPECTUS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and including               , 2024 (the 25th day after the date of this prospectus), all dealers effecting transactions in these securities,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underwriter have not authorized anyone to give you any information other than the information contained in this prospectus, the information incorporated by reference herein, any applicable prospectus supplement or any free writing prospectus filed with the U.S. Securities and Exchange Commission (the “SEC”). We and the underwriter take no responsibility for, and can provide no assurances as to the reliability of, any other information that others may give you. Neither we nor the underwriter have authorized anyone to provide you with additional information or information different from that contained in this prospectus filed with the SEC. This prospectus is an offer to sell only the shares offered hereby, but only under circumstances and in jurisdictions where it is lawful to do so. You should assume that the information appearing in this prospectus, the applicable prospectus supplement and any related free writing prospectus is accurate only as of the respective dates of those documents.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Non-U.S.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underwriter have done anything that would permit this offering or possession or distribution of this prospectus, any prospectus supplement or free writing prospectus filed with the SEC, in any jurisdiction where action for that purpose is required, other than in the United States. Persons outside the United States who come into possession of this prospectus, any prospectus supplement or free writing prospectus must inform themselves about, and observe any restrictions relating to, the offering of the shares of common stock and the distribution of this prospectus, any prospectus supplement or free writing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OTHER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industry, market and competitive position data from our own internal estimates and research as well as industry and general publications and research surveys and studies conducted by independent third parties. Industry publications, studies and surveys generally state that they have been obtained from sources believed to be reliable. Our internal data and estimates are based upon information obtained from trade and business organizations and other contacts in the markets in which we operate and our management’s understanding of industry conditions. Management is responsible for the accuracy of our internal company research and believes such information is reliable and the market definitions are appropriate. The industry in which we operate is subject to a high degree of uncertainty and risk due to a variety of factors, including those described in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These and other factors could cause results to differ materially from those expressed in the estimates made by the independent third parties and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bdr w:val="single" w:sz="12" w:space="10" w:color="000000"/>
        </w:rPr>
      </w:pPr>
      <w:bookmarkStart w:id="3" w:name="a_002"/>
      <w:bookmarkEnd w:id="3"/>
      <w:r>
        <w:rPr>
          <w:rFonts w:ascii="Times New Roman;Times;Serif" w:hAnsi="Times New Roman;Times;Serif"/>
          <w:b/>
          <w:i w:val="false"/>
          <w:smallCaps/>
          <w:sz w:val="20"/>
          <w:bdr w:val="single" w:sz="12" w:space="10" w:color="000000"/>
        </w:rPr>
        <w:t>PROSPECTUS SUMMARY</w:t>
      </w:r>
    </w:p>
    <w:p>
      <w:pPr>
        <w:pStyle w:val="TextBody"/>
        <w:bidi w:val="0"/>
        <w:spacing w:before="0" w:after="0"/>
        <w:ind w:left="0" w:right="0" w:hanging="0"/>
        <w:jc w:val="center"/>
        <w:rPr>
          <w:smallCaps/>
          <w:bdr w:val="single" w:sz="12" w:space="10" w:color="000000"/>
        </w:rPr>
      </w:pPr>
      <w:r>
        <w:rPr>
          <w:smallCaps/>
          <w:bdr w:val="single" w:sz="12" w:space="10"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0" w:color="000000"/>
        </w:rPr>
      </w:pPr>
      <w:r>
        <w:rPr>
          <w:rFonts w:ascii="Times New Roman;Times;Serif" w:hAnsi="Times New Roman;Times;Serif"/>
          <w:b w:val="false"/>
          <w:i/>
          <w:caps w:val="false"/>
          <w:smallCaps w:val="false"/>
          <w:sz w:val="20"/>
          <w:bdr w:val="single" w:sz="12" w:space="10" w:color="000000"/>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the Company and this offering, we encourage you to read and consider carefully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This prospectus includes a number of technical terms. Please see “</w:t>
      </w:r>
      <w:r>
        <w:rPr>
          <w:rFonts w:ascii="Times New Roman;Times;Serif" w:hAnsi="Times New Roman;Times;Serif"/>
          <w:b w:val="false"/>
          <w:i/>
          <w:caps w:val="false"/>
          <w:smallCaps w:val="false"/>
          <w:sz w:val="20"/>
          <w:bdr w:val="single" w:sz="12" w:space="10" w:color="000000"/>
        </w:rPr>
        <w:t>Glossary of Terms and Abbreviations</w:t>
      </w:r>
      <w:r>
        <w:rPr>
          <w:rFonts w:ascii="Times New Roman;Times;Serif" w:hAnsi="Times New Roman;Times;Serif"/>
          <w:b w:val="false"/>
          <w:i w:val="false"/>
          <w:caps w:val="false"/>
          <w:smallCaps w:val="false"/>
          <w:sz w:val="20"/>
          <w:bdr w:val="single" w:sz="12" w:space="10" w:color="000000"/>
        </w:rPr>
        <w:t>” beginning on page 57.</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Overview</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are on a mission to deliver a sustainable future by transforming how goods move among people.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Serve has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Serve aims to reshape cities into sustainable, safe, and people-friendly environments, with thriving local economies.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Serve’s first product is a low-emissions robot that serves people in public spaces, starting with last-mile food delivery. In 2017, our core technology development began with our co-founders and a growing product and engineering team. In 2020, the team launched a fleet of sidewalk delivery robots (hereafter simply referred to as “delivery robots”) in Los Angeles performing contactless deliveries during the COVID-19 pandemic shutdowns. By the end of that year, Serve robots had successfully completed over 10,000 commercial deliveries for Postmates Inc. (“Postmates”) in California, augmenting Postmates’ fleet of human couriers.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Postmates was acquired by Uber Technologies, Inc.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full-time employees.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After spinning off from Uber in 2021, Serve established a commercial partnership with Uber, with deliveries starting in January 2022 on a small scale. In May 2022, Uber announced a pilot program with Serve, and by June, it executed a commercial-scale agreement with Serve to deploy up to 2,000 of its robots across the United States.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Serve’s current fleet consists of over 100 robots, and we plan to expand our fleet by building and deploying hundreds of new robots in the coming years after raising additional rounds of financing. We have platform-level integrations with the Uber Eats division of Uber and 7-Eleven, Inc. Our strategic investors include NVIDIA, Uber, 7-Ventures and Delivery Hero’s corporate venture units, alongside other world-class investors.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Our Industry and Market Opportunity</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Despite new technological innovations of the past few decades as well as growing adoption of online commerce and home delivery, last-mile delivery has remained costly and inefficient. From 2020 to 2023, DoorDash, Inc. (“Doordash”), the largest food delivery platform in the United States, reported nearly 200% in revenue growth, while cost of revenue increased 235% over that four-year period.</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Besides on-demand delivery, next-day parcel delivery has also struggled with last-mile cost. For example, in May 2023, Amazon announced a program to reduce its delivery costs by offering certain customers $10 to pick up items from nearby stores.</w:t>
      </w:r>
    </w:p>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 number of factors have contributed to keeping last-mile costs high: labor shortages, wage inflation, and regulatory pressures to classify gig workers as employees. The aforementioned factors serve as tailwinds that are expected to accelerate the adoption of automation in last-mile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believe that the evolving landscape of urban mobility will see a shift towards the unbundling of traditional vehicular transportation, potentially ushering in an era where specialized robots and automated vehicles will play a central role in mobility. After the introduction of automobiles in the early 20th century, according to reports, the United States experienced a transition from 25 million horses in the 1920s, to over 283 million cars in the 2020s — over 11 vehicles replacing one horse. Drawing on this trend, we believe the development of specialized, efficient robots in the future has the potential to lead to a similar proliferation of robots for every existing vehicle.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For example, consider the delivery of goods, which represents a major application for vehicles today. Deliveries vary by distance, cargo size, cargo sensitivity and timing requirements, among other factors. Today, most next-day parcels are delivered using trucks, while on-demand food delivery largely takes place in personal vehicles. Overall, a small percentage of short-distance deliveries are performed on bicycles.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automation is introduced, we believe different automated technologies will be best suited for different deliveries. Autonomous vehicles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over the coming years. We believe robots are best suited for short-distance deliveries in populated environments, while drones are best suited for longer distances and less populated areas. When different automated vehicles emerge at scale, we expect to see a considerable share of deliveries completed using multiple technologies collaboratively.</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 summary, we believe delivery robots, aerial drones and AVs are each efficacious for deliveries with different attributes, and all three can work collaboratively to create an efficient automated last-mile delivery network. The applications of robotics in delivery are wide-ranging, from on-demand food and grocery to convenience goods, alcohol, pharmaceuticals, parcels and more. According to a 2023 Business Insider report, the market for delivery robots is predicted to grow to $1 trillion by 2030.</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automation decreases the cost of last-mile delivery and leads to increased adoption, we anticipate opportunities for impact over the long term:</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Reduced greenhouse gas (“GHG”) Emissions: We believe robots and drones can reduce emissions caused by large vehicles used today for moving small packages. According to a study published in Transportation Research Part D: Transport and Environment in 2020, GHG emissions from operating delivery robots, including emissions from charging battery and transportation to/from delivery hubs, are over 96% lower than emissions from operating internal combustion engine vehicles.</w:t>
            </w:r>
          </w:p>
        </w:tc>
      </w:tr>
    </w:tbl>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Lower Delivery Costs: While all automated delivery vehicles still require a certain amount of human involvement (for example, in loading, unloading, maintenance and remote supervision), we believe labor is leveraged more efficiently resulting in more deliveries per unit of human effort. Just as automation has done in the past, it is expected that this will reduce delivery costs.</w:t>
            </w:r>
          </w:p>
        </w:tc>
      </w:tr>
    </w:tbl>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Increased On-Demand Adoption: On-demand services are largely luxuries afforded by affluent consumers today. We believe reducing delivery costs could make home delivery services affordable to more people.</w:t>
            </w:r>
          </w:p>
        </w:tc>
      </w:tr>
    </w:tbl>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Easier Reverse Logistics: We believe reducing the cost for last-mile transportation is likely to increase adoption of reverse logistics applications as well (e.g., more convenient package returns).</w:t>
            </w:r>
          </w:p>
        </w:tc>
      </w:tr>
    </w:tbl>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More Local Commerce: We believe that the increased adoption of home delivery will result in more commerce for local businesses.</w:t>
            </w:r>
          </w:p>
        </w:tc>
      </w:tr>
    </w:tbl>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automation increases the efficiency of last-mile delivery, we anticipate significant opportunities for impact by lowering delivery costs, increasing on-demand adoption, making reverse logistics easier, and increasing local commerce activity in addition to providing an environmentally-friendly alternative.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Recent Developments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Management Team Update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On April 9, 2024, we announced the appointment of Brian Read as our new Chief Financial Officer, effective on or around April 29, 2024 (such actual effective date, the “Read Effective Date”). Mr. Read will succeed our current Chief Financial Officer, April Pannell, whose resignation from her position as Chief Financial Officer will become effective on the Read Effective Date. Prior to joining our Company, Mr. Read served as a Controller for Apptronik Inc. from April 2023 to April 2024, as a Global Controller at REE Automotive Ltd. from February 2021 to March 2023 and as an Assistant Global Controller at Coherent Corp. from January 2019 to January 2021. Mr. Read was also an associate and senior associate at PricewaterhouseCoopers LLP from July 2011 to January 2017. Mr. Read holds a Bachelor of Science in Business Administration (Accounting) from Duquesne University and is a Certified Public Accountant (Pennsylvania).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Magna Services Agreement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On February 1, 2024, Serve entered into a Master Services Agreement (the “MSA”) with Magna New Mobility USA, Inc.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 connection with the strategic partnership with Magna, on February 7, 2024, we issued to Magna a warrant (the “Magna Warrant”) to purchase up to 2,145,000 shares of our common stock (the “Magna Warrant Shares”), subject to adjustments as provided therein, at an exercise price of $0.01 per share.</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shares issued upon exercise of the Magna Warrant will vest and become exercisable upon any “change of control” (as defined in the Magna Warrant).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shares of common stock that may be issued pursuant to the exercise of the Magna Warrant are being offered and sold in a transaction exempt from registration under the Securities Act of 1933, as amended (the “Securities Act”) in reliance on Section 4(a)(2) of the Securities Act.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Convertible Promissory Notes Offering</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At an initial closing on January 2, 2024 and subsequent closings on January 12, 2024, January 22, 2024 and January 26, 2024, we issued convertible promissory notes (the “Convertible Promissory Notes”) to certain accredited investors (the “Purchasers”). The Convertible Promissory Notes bear interest at a rate of 6.00% per year, compounded annually, and are due and payable upon request by each Purchaser on or after the 12-month anniversary of the original issuance date of each Convertible Promissory Note. The Company may not prepay or repay the Convertible Promissory Notes in cash without the consent of the Purchasers. The aggregate gross proceeds from the issuance of the Convertible Promissory Notes were $5.0 million.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Pursuant to the terms of the Convertible Promissory Notes, in connection with this offering, the outstanding principal amount of the Convertible Promissory Notes and any unpaid accrued interest shall automatically convert in whole without any further action by the Purchasers into shares of common stock at a conversion price per share equal to the lesser of (i) the cash price paid per share for common stock by the Investors in the Qualified Financing multiplied by 0.75, and (ii) the quotient resulting from dividing $80,000,000 by the number of outstanding shares of common stock immediately prior to the Qualified Financing (assuming the conversion of all outstanding securities convertible into or exercisable for shares of common stock, including all shares reserved and available for future grant under the Company’s compensation plans)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Convertible Promissory Notes provide for certain registration rights, pursuant to which we agreed that as soon as practicable, but no later than 45 days after the date of issuance of any shares upon the conversion of the Convertible Promissory Notes (the “Conversion Shares”), we will use our best efforts to file, subject to customary exceptions, a registration statement with the SEC covering the Conversion Shares.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 connection with the issuance of the shares issuable upon conversion of the Convertible Promissory Notes, we will issue non-transferrable warrants to the placement agent engaged for the Convertible Promissory Notes offering (the “Convertible Promissory Notes Offering Warrants”) to purchase such number of shares of our common stock equal to 10% of the number of shares of common stock into which the Convertible Promissory Notes sold to investors introduced by the placement agent are initially convertible. The Convertible Promissory Notes Offering Warrants will be exercisable at the same price as the Conversion Price. The Convertible Promissory Notes Offering Warrants shall be for a term of five years from the date of issuance and shall have cashless exercise and such other provisions as are customary for warrants of this nature. The shares of common stock issuable upon exercise of the Convertible Promissory Notes Offering Warrants will be registered under the registration statement to be filed with respect to the Conversion Shares.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issuance of the Convertible Promissory Notes and the Convertible Promissory Notes Offering Warrants are exempt from registration under Section 4(a)(2) of the Securities Act and Rule 506 of Regulation D promulgated by the SEC thereunder.</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Merger Agreement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On July 31, 2023, we, our wholly-owned subsidiary, Serve Acquisition Co., a corporation formed in the State of Delaware on July 10, 2023 (“Acquisition Sub”), and Serve entered into an Agreement and Plan of Merger and Reorganization (the “Merger Agreement”). Pursuant to the terms of the Merger Agreement, on July 31, 2023 (the “Closing Date”), Acquisition Sub merged with and into Serve, with Serve continuing as the surviving corporation and our wholly-owned subsidiary (the “Merger”).</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 result of the Merger, we acquired the business of Serve, which designs, develops and operates an advanced, AI-powered robotics mobility platform, with last-mile delivery in cities as its first application. See “</w:t>
      </w:r>
      <w:r>
        <w:rPr>
          <w:rFonts w:ascii="Times New Roman;Times;Serif" w:hAnsi="Times New Roman;Times;Serif"/>
          <w:b w:val="false"/>
          <w:i/>
          <w:caps w:val="false"/>
          <w:smallCaps w:val="false"/>
          <w:sz w:val="20"/>
          <w:bdr w:val="single" w:sz="12" w:space="10" w:color="000000"/>
        </w:rPr>
        <w:t>Description of our Business</w:t>
      </w:r>
      <w:r>
        <w:rPr>
          <w:rFonts w:ascii="Times New Roman;Times;Serif" w:hAnsi="Times New Roman;Times;Serif"/>
          <w:b w:val="false"/>
          <w:i w:val="false"/>
          <w:caps w:val="false"/>
          <w:smallCaps w:val="false"/>
          <w:sz w:val="20"/>
          <w:bdr w:val="single" w:sz="12" w:space="10" w:color="000000"/>
        </w:rPr>
        <w:t>” below. At the time the certificate of merger reflecting the Merger was filed with the Secretary of State of Delaware (the “Effective Time”), each of Serve’s shares of capital stock issued and outstanding immediately prior to the closing of the Merger was converted into the right to receive 0.8035 shares of our common stock (the “Common Share Conversion Ratio”)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Company common stock owned by our stockholders prior to the Merger were forfeited and canceled (the “Stock Forfeiture”). In addition, pursuant to the Merger Agreement, (i) options to purchase 1,984,951 shares of Serve’s common stock issued and outstanding immediately prior to the closing of the Merger under Serve Robotics Inc. 2021 Stock Plan (the “2021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simple agreement for future equity (“SAFEs”) totaling $15.55 million were converted into 4,372,613 shares of our common stock.</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Following the closing of the Merger, Patricia Acquisition Corp. changed its name to Serve Robotics Inc. The issuance of shares of our common stock, options or warrants to purchase shares of our common stock to Serve’s former security holders are collectively referred to as the “Share Conversion.” See “</w:t>
      </w:r>
      <w:r>
        <w:rPr>
          <w:rFonts w:ascii="Times New Roman;Times;Serif" w:hAnsi="Times New Roman;Times;Serif"/>
          <w:b w:val="false"/>
          <w:i/>
          <w:caps w:val="false"/>
          <w:smallCaps w:val="false"/>
          <w:sz w:val="20"/>
          <w:bdr w:val="single" w:sz="12" w:space="10" w:color="000000"/>
        </w:rPr>
        <w:t>Description of Capital Stock</w:t>
      </w:r>
      <w:r>
        <w:rPr>
          <w:rFonts w:ascii="Times New Roman;Times;Serif" w:hAnsi="Times New Roman;Times;Serif"/>
          <w:b w:val="false"/>
          <w:i w:val="false"/>
          <w:caps w:val="false"/>
          <w:smallCaps w:val="false"/>
          <w:sz w:val="20"/>
          <w:bdr w:val="single" w:sz="12" w:space="10" w:color="000000"/>
        </w:rPr>
        <w:t>” elsewhere in this prospectus for more information.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 condition to the Merger, on July 31, 2023, we entered into indemnity agreements with our former officer and directors (the “Pre-Merger Indemnity Agreement”), pursuant to which we agreed to indemnify such former officer and directors for actions taken by them in their official capacities relating to the consideration, approval and consummation of the Merger and certain related transactions.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Merger was treated as a recapitalization and reverse acquisition for us for financial reporting purposes. Serve is considered the acquirer for accounting purposes. Our historical financial statements before the Merger have been replaced with the historical financial statements of Serve before the Merger in the registration statement of which this prospectus is a part, and in future filings with the SEC. The Merger is intended to be treated as a tax-free reorganization under Section 368(a) of the Internal Revenue Code of 1986, as amended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securities issued pursuant to the Share Conversion (the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The Converted Securities are also subject to further contractual restrictions on transfer under the lock-up agreement, pursuant to which, subject to certain exceptions, applicable holders are not to dispose of or hedge any shares of common stock or securities convertible into or exchangeable for shares of common stock during the period from July 31, 2023, the date of the lock-up agreement, continuing through the date 12 months after the date of the lockup agreement.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Private Placement</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Following the Effective Time of the Merger, we sold 3,183,671 shares of our common stock pursuant to a private placement offering, at a purchase price of $4.00 per share in multiple closings through October 26, 2023. The private placement offering is referred to herein as the “Private Placement.” We also issued 937,961 shares of our common stock to convert the outstanding principal and interest of outstanding Bridge Notes (as defined herein) in connection with the consummation of the Merger.</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aggregate gross proceeds from the Private Placement were approximately $15.74 million (including the aggregate principal amount of Bridge Notes converted as more fully described in the section titled “</w:t>
      </w:r>
      <w:r>
        <w:rPr>
          <w:rFonts w:ascii="Times New Roman;Times;Serif" w:hAnsi="Times New Roman;Times;Serif"/>
          <w:b w:val="false"/>
          <w:i/>
          <w:caps w:val="false"/>
          <w:smallCaps w:val="false"/>
          <w:sz w:val="20"/>
          <w:bdr w:val="single" w:sz="12" w:space="10" w:color="000000"/>
        </w:rPr>
        <w:t>Description of the Merger, the Offering, and Related Transactions</w:t>
      </w:r>
      <w:r>
        <w:rPr>
          <w:rFonts w:ascii="Times New Roman;Times;Serif" w:hAnsi="Times New Roman;Times;Serif"/>
          <w:b w:val="false"/>
          <w:i w:val="false"/>
          <w:caps w:val="false"/>
          <w:smallCaps w:val="false"/>
          <w:sz w:val="20"/>
          <w:bdr w:val="single" w:sz="12" w:space="10" w:color="000000"/>
        </w:rPr>
        <w:t>,” before deducting placement agent fees and expenses).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Offering was exempt from registration under Section 4(a)(2) of the Securities Act and Rule 506 of Regulation D promulgated by the SEC thereunder. The common stock was sold to “accredited investors,” as defined in Regulation D, and was conducted on a “reasonable best efforts” basis.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Summary Risk Factors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Investing in our common stock involves substantial risk. Our ability to execute our strategy is also subject to certain risks. The risks described under the heading “</w:t>
      </w:r>
      <w:r>
        <w:rPr>
          <w:rFonts w:ascii="Times New Roman;Times;Serif" w:hAnsi="Times New Roman;Times;Serif"/>
          <w:b w:val="false"/>
          <w:i/>
          <w:caps w:val="false"/>
          <w:smallCaps w:val="false"/>
          <w:sz w:val="20"/>
          <w:bdr w:val="single" w:sz="12" w:space="10" w:color="000000"/>
        </w:rPr>
        <w:t>Risk Factors</w:t>
      </w:r>
      <w:r>
        <w:rPr>
          <w:rFonts w:ascii="Times New Roman;Times;Serif" w:hAnsi="Times New Roman;Times;Serif"/>
          <w:b w:val="false"/>
          <w:i w:val="false"/>
          <w:caps w:val="false"/>
          <w:smallCaps w:val="false"/>
          <w:sz w:val="20"/>
          <w:bdr w:val="single" w:sz="12" w:space="10" w:color="000000"/>
        </w:rPr>
        <w:t>” included elsewhere in this prospectus may cause us not to realize the full benefits of our strengths or may cause us to be unable to successfully execute all or part of our strategy. Some of the most significant challenges and risks include the following:</w:t>
      </w:r>
    </w:p>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Because we are an early-stage company with minimal revenue and a history of losses and we expect to continue to incur substantial losses for the foreseeable future, we cannot assure you that we can or will be able to operate profitably.</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We have a limited operating history, which may make it difficult to evaluate our business and prospects.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effectively manage our growth, we may not be able to design, develop, manufacture, market and launch new generations of our robotic systems successfully.</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pPr>
            <w:r>
              <w:rPr/>
              <w:t>A significant portion of our revenue is concentrated with one customer.</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revenue plans rely on partnering with third-party delivery platforms, brand sponsors and/or direct sales to merchants.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Failure of our service providers or disruptions to our outsourcing relationships might negatively impact our ability to conduct our business.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robots operate in public spaces and any errors caused by human supervisors, network connectivity issues, third-party software, or automation may adversely affect our commercial relationships.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robots rely on sophisticated software technology that incorporates third-party components and networks to operate, and the inability to maintain licenses for this software technology, errors in the software we license or the terms of open-source licenses could result in increased costs or reduced service levels, which would adversely affect our business.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benefit of our products could be supplanted by other technologies or solutions or competitors’ products that utilize similar technology to ours in a more effective way.</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have limited experience commercializing our products at a large scale and may not be able to do so efficiently or effectively.</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substantially reliant on our relationships with suppliers and service providers for the parts and components in our robots, as well as for the manufacture of our robots. If any of these suppliers or service partners choose to not do business with us, we would have significant difficulty in procuring and producing our robots and our business prospects would be significantly harmed.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evolving regulations around personal delivery devices (“PDDs”) could materially impact our business and growth prospects in new markets.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Even if our products perform properly and are used as intended, if operators sustain any injuries while using our products, we could be exposed to liability and our results of operations, financial condition and our reputation may be adversely affected.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operate in a competitive industry that is subject to rapid technological change, and competitors may have or attain more resources and/or greater market recognition than we do.</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cannot protect, maintain and, if necessary, enforce our intellectual property rights, our ability to develop and commercialize products will be adversely impacted.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Security breaches and other disruptions could compromise our proprietary information and expose us to liability, which would cause our business and reputation to suffer.</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business plans require a significant amount of capital. Our future capital needs may require us to sell additional equity or debt securities that may dilute our stockholders or contain terms unfavorable to us or our investors.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will be required to raise additional capital in order to develop our technology and scale our commercial delivery operations. However, we may be unable to raise additional capital needed to fund and grow our business.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use of the internet via websites, mobile devices and other platforms, particularly with respect to online food ordering, does not continue, our business and growth prospects will be harmed.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products and services are disruptive to the delivery services industries, and important assumptions about the market demand, pricing, adoption rates and sales cycle, for our current and future products and services may be inaccurate.</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Even if we successfully market our products and services, the purchase or subscription, adoption and use of the products and services may be materially and negatively impacted if our customers resist the use and adoption of the products and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systems, products, technologies and services and related equipment may have shorter useful lives than we anticipate.</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any manufacturing partners, and suppliers may rely on complex machinery for production, which involves a significant degree of risk and uncertainty in terms of operational performance and costs.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49"/>
        <w:gridCol w:w="219"/>
        <w:gridCol w:w="9937"/>
      </w:tblGrid>
      <w:tr>
        <w:trPr/>
        <w:tc>
          <w:tcPr>
            <w:tcW w:w="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be unable to adequately control the costs associated with our operations.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manufacture products of sufficient quality on schedule in the future is uncertain, and delays in the design, production and launch of our products could harm our business, prospects, financial condition and operating results.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subject to cybersecurity risks to our operational systems, security systems, infrastructure, integrated software in our products and data processed by us or third-party vendors.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do not intend to pay dividends for the foreseeable future and, as a result, your ability to achieve a return on your investment will depend on appreciation in the price of our common stock.</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Implications of Being an Emerging Growth Company and a Smaller Reporting Company</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reduced disclosure about our executive compensation arrangements;</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not being required to comply with the auditor attestation requirements of Section 404 of the Sarbanes-Oxley Act, as amended, on the effectiveness of our internal controls over financial reporting;</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disclosure obligations regarding executive compensation arrangements in our periodic reports, proxy statements and registration statements, including this prospectus; and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exemptions from the requirements of holding a nonbinding advisory vote on executive compensation and stockholder approval of any golden parachute payments not previously approved.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may use these provisions until the last day of our fiscal year in which the fifth anniversary of the first sale of our common stock pursuant to an effective registration statement occurs.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0" w:color="000000"/>
        </w:rPr>
      </w:pPr>
      <w:r>
        <w:rPr>
          <w:rFonts w:ascii="Times New Roman;Times;Serif" w:hAnsi="Times New Roman;Times;Serif"/>
          <w:b/>
          <w:i w:val="false"/>
          <w:caps w:val="false"/>
          <w:smallCaps w:val="false"/>
          <w:sz w:val="20"/>
          <w:bdr w:val="single" w:sz="12" w:space="10" w:color="000000"/>
        </w:rPr>
        <w:t>Corporate Information</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were incorporated in Delaware as Patricia Acquisition Corp. on November 9, 2020. On July 31, 2023, Serve Acquisition Corp. merged with and into Serve.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Immediately after completion of the Merger, we changed our name to “Serve Robotics Inc.”</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Prior to the Merger, Patricia Acquisition Corp. was a “shell” company registered under the Securities Exchange Act of 1934, as amended (the “Exchange Act”), with no specific business plan or purpose until it began operating the business of Serve following the closing of the Merger.</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 xml:space="preserve">Our principal executive offices are located at 730 Broadway, Redwood City, California 94063. Our telephone number is (818) 860-1352. Our website address is </w:t>
      </w:r>
      <w:r>
        <w:rPr>
          <w:rFonts w:ascii="Times New Roman;Times;Serif" w:hAnsi="Times New Roman;Times;Serif"/>
          <w:b w:val="false"/>
          <w:i/>
          <w:caps w:val="false"/>
          <w:smallCaps w:val="false"/>
          <w:sz w:val="20"/>
          <w:bdr w:val="single" w:sz="12" w:space="10" w:color="000000"/>
        </w:rPr>
        <w:t xml:space="preserve">http://www.serverobotics.com. </w:t>
      </w:r>
      <w:r>
        <w:rPr>
          <w:rFonts w:ascii="Times New Roman;Times;Serif" w:hAnsi="Times New Roman;Times;Serif"/>
          <w:b w:val="false"/>
          <w:i w:val="false"/>
          <w:caps w:val="false"/>
          <w:smallCaps w:val="false"/>
          <w:sz w:val="20"/>
          <w:bdr w:val="single" w:sz="12" w:space="10" w:color="000000"/>
        </w:rPr>
        <w:t>Information contained on, or that can be accessed through, our website is not a part of this prospectus.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bdr w:val="single" w:sz="12" w:space="10" w:color="000000"/>
        </w:rPr>
      </w:pPr>
      <w:bookmarkStart w:id="4" w:name="a_003"/>
      <w:bookmarkEnd w:id="4"/>
      <w:r>
        <w:rPr>
          <w:rFonts w:ascii="Times New Roman;Times;Serif" w:hAnsi="Times New Roman;Times;Serif"/>
          <w:b/>
          <w:i w:val="false"/>
          <w:smallCaps/>
          <w:sz w:val="20"/>
          <w:bdr w:val="single" w:sz="12" w:space="10" w:color="000000"/>
        </w:rPr>
        <w:t>THE OFFERING</w:t>
      </w:r>
    </w:p>
    <w:p>
      <w:pPr>
        <w:pStyle w:val="TextBody"/>
        <w:bidi w:val="0"/>
        <w:spacing w:before="0" w:after="0"/>
        <w:ind w:left="0" w:right="0" w:hanging="0"/>
        <w:jc w:val="center"/>
        <w:rPr>
          <w:smallCaps/>
          <w:bdr w:val="single" w:sz="12" w:space="10" w:color="000000"/>
        </w:rPr>
      </w:pPr>
      <w:r>
        <w:rPr>
          <w:smallCaps/>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1850"/>
        <w:gridCol w:w="8355"/>
      </w:tblGrid>
      <w:tr>
        <w:trPr/>
        <w:tc>
          <w:tcPr>
            <w:tcW w:w="1850" w:type="dxa"/>
            <w:tcBorders/>
            <w:vAlign w:val="center"/>
          </w:tcPr>
          <w:p>
            <w:pPr>
              <w:pStyle w:val="TableContents"/>
              <w:bidi w:val="0"/>
              <w:spacing w:before="0" w:after="283"/>
              <w:jc w:val="left"/>
              <w:rPr>
                <w:b/>
              </w:rPr>
            </w:pPr>
            <w:r>
              <w:rPr>
                <w:b/>
              </w:rPr>
              <w:t>Common stock offered by us</w:t>
            </w:r>
          </w:p>
        </w:tc>
        <w:tc>
          <w:tcPr>
            <w:tcW w:w="8355" w:type="dxa"/>
            <w:tcBorders/>
            <w:vAlign w:val="center"/>
          </w:tcPr>
          <w:p>
            <w:pPr>
              <w:pStyle w:val="TableContents"/>
              <w:bidi w:val="0"/>
              <w:spacing w:before="0" w:after="283"/>
              <w:jc w:val="both"/>
              <w:rPr/>
            </w:pPr>
            <w:r>
              <w:rPr/>
              <w:t>              </w:t>
            </w:r>
            <w:r>
              <w:rPr/>
              <w:t>shares of our common stock</w:t>
            </w:r>
          </w:p>
        </w:tc>
      </w:tr>
      <w:tr>
        <w:trPr/>
        <w:tc>
          <w:tcPr>
            <w:tcW w:w="1850"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left"/>
              <w:rPr>
                <w:b/>
              </w:rPr>
            </w:pPr>
            <w:r>
              <w:rPr>
                <w:b/>
              </w:rPr>
              <w:t>Option to purchase additional shares</w:t>
            </w:r>
          </w:p>
        </w:tc>
        <w:tc>
          <w:tcPr>
            <w:tcW w:w="83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exercisable for 45 days after closing of this offering, to purchase up to               additional shares of common stock from us at the public offering price per share less the underwriting discounts and commissions, solely to cover over-allotments, if any.</w:t>
            </w:r>
          </w:p>
        </w:tc>
      </w:tr>
      <w:tr>
        <w:trPr/>
        <w:tc>
          <w:tcPr>
            <w:tcW w:w="1850"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left"/>
              <w:rPr>
                <w:b/>
              </w:rPr>
            </w:pPr>
            <w:r>
              <w:rPr>
                <w:b/>
              </w:rPr>
              <w:t>Common stock outstanding immediately after this offering</w:t>
            </w:r>
          </w:p>
        </w:tc>
        <w:tc>
          <w:tcPr>
            <w:tcW w:w="8355" w:type="dxa"/>
            <w:tcBorders/>
            <w:vAlign w:val="center"/>
          </w:tcPr>
          <w:p>
            <w:pPr>
              <w:pStyle w:val="TableContents"/>
              <w:bidi w:val="0"/>
              <w:spacing w:before="0" w:after="0"/>
              <w:ind w:left="0" w:right="0" w:firstLine="720"/>
              <w:jc w:val="both"/>
              <w:rPr/>
            </w:pPr>
            <w:r>
              <w:rPr/>
              <w:t>shares (or              shares if the underwriter exercises its option to purchase additional shares in full)</w:t>
            </w:r>
          </w:p>
        </w:tc>
      </w:tr>
      <w:tr>
        <w:trPr/>
        <w:tc>
          <w:tcPr>
            <w:tcW w:w="1850"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b/>
              </w:rPr>
            </w:pPr>
            <w:r>
              <w:rPr>
                <w:b/>
              </w:rPr>
              <w:t>Use of proceeds</w:t>
            </w:r>
          </w:p>
        </w:tc>
        <w:tc>
          <w:tcPr>
            <w:tcW w:w="83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net proceeds from the sale of the shares of common stock that we are offering will be approximately $35.7 million (or approximately $41.3 million if the underwriter exercises its option to purchase additional shares in full), based upon the assumed public offering price of $4.50 per share (the closing price of our common stock on April 5, 2024 on the OTCQB), after deducting the estimated underwriting discounts and commissions and estimated offering expenses payable by us. The principal purposes of this offering are to increase our financial flexibility, create a public market for our common stock and facilitate our future access to the capital markets.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approximately $35.0 million of the net proceeds from this offering, together with our existing cash, cash equivalents and marketable securities, to fund the research and development of the next generations of our robots, including certain manufacturing activities and the planned geographic expansion of our fleet into new areas, and the remainder, if any, for working capital and other general corporate purposes. See the section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for additional information.</w:t>
            </w:r>
          </w:p>
          <w:p>
            <w:pPr>
              <w:pStyle w:val="TableContents"/>
              <w:bidi w:val="0"/>
              <w:spacing w:before="0" w:after="0"/>
              <w:ind w:left="0" w:right="0" w:hanging="0"/>
              <w:jc w:val="both"/>
              <w:rPr>
                <w:caps w:val="false"/>
                <w:smallCaps w:val="false"/>
              </w:rPr>
            </w:pPr>
            <w:r>
              <w:rPr>
                <w:caps w:val="false"/>
                <w:smallCaps w:val="false"/>
              </w:rPr>
              <w:t> </w:t>
            </w:r>
          </w:p>
        </w:tc>
      </w:tr>
      <w:tr>
        <w:trPr/>
        <w:tc>
          <w:tcPr>
            <w:tcW w:w="1850" w:type="dxa"/>
            <w:tcBorders/>
            <w:vAlign w:val="center"/>
          </w:tcPr>
          <w:p>
            <w:pPr>
              <w:pStyle w:val="TableContents"/>
              <w:bidi w:val="0"/>
              <w:spacing w:before="0" w:after="283"/>
              <w:jc w:val="both"/>
              <w:rPr>
                <w:b/>
              </w:rPr>
            </w:pPr>
            <w:r>
              <w:rPr>
                <w:b/>
              </w:rPr>
              <w:t>Underwriter’s Warrants</w:t>
            </w:r>
          </w:p>
        </w:tc>
        <w:tc>
          <w:tcPr>
            <w:tcW w:w="8355" w:type="dxa"/>
            <w:tcBorders/>
            <w:vAlign w:val="center"/>
          </w:tcPr>
          <w:p>
            <w:pPr>
              <w:pStyle w:val="TableContents"/>
              <w:bidi w:val="0"/>
              <w:spacing w:before="0" w:after="283"/>
              <w:jc w:val="both"/>
              <w:rPr/>
            </w:pPr>
            <w:r>
              <w:rPr/>
              <w:t>We have agreed to issue to the underwriter warrants to purchase up to             shares of our common stock, which equates to 5.0% of the number of shares of our common stock sold in the offering, other than shares sold pursuant to exercise of the over-allotment option described below, if any (the “Underwriter’s Warrants”). The warrants are exercisable at $             per share (125% of the public offering price per share of common stock) and will be exercisable beginning on the date which is six months from the commencement of sales under the registration statement of which this prospectus forms a part, will expire five years from such commencement of sales, and carry certain registration rights. Such warrants and underlying shares of common stock are included in this prospectus. For additional information, see “</w:t>
            </w:r>
            <w:r>
              <w:rPr>
                <w:i/>
              </w:rPr>
              <w:t>Underwriting</w:t>
            </w:r>
            <w:r>
              <w:rPr/>
              <w:t>.”</w:t>
            </w:r>
          </w:p>
        </w:tc>
      </w:tr>
      <w:tr>
        <w:trPr/>
        <w:tc>
          <w:tcPr>
            <w:tcW w:w="1850" w:type="dxa"/>
            <w:tcBorders/>
            <w:vAlign w:val="center"/>
          </w:tcPr>
          <w:p>
            <w:pPr>
              <w:pStyle w:val="TableContents"/>
              <w:bidi w:val="0"/>
              <w:spacing w:before="0" w:after="283"/>
              <w:jc w:val="both"/>
              <w:rPr/>
            </w:pPr>
            <w:r>
              <w:rPr/>
              <w:t> </w:t>
            </w:r>
          </w:p>
        </w:tc>
        <w:tc>
          <w:tcPr>
            <w:tcW w:w="8355" w:type="dxa"/>
            <w:tcBorders/>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Standstill</w:t>
            </w:r>
          </w:p>
          <w:p>
            <w:pPr>
              <w:pStyle w:val="TableContents"/>
              <w:bidi w:val="0"/>
              <w:spacing w:before="0" w:after="0"/>
              <w:ind w:left="0" w:right="0" w:hanging="180"/>
              <w:jc w:val="both"/>
              <w:rPr>
                <w:caps w:val="false"/>
                <w:smallCaps w:val="false"/>
              </w:rPr>
            </w:pPr>
            <w:r>
              <w:rPr>
                <w:caps w:val="false"/>
                <w:smallCaps w:val="false"/>
              </w:rPr>
              <w:t> </w:t>
            </w:r>
          </w:p>
        </w:tc>
        <w:tc>
          <w:tcPr>
            <w:tcW w:w="8355" w:type="dxa"/>
            <w:tcBorders/>
            <w:vAlign w:val="center"/>
          </w:tcPr>
          <w:p>
            <w:pPr>
              <w:pStyle w:val="TableContents"/>
              <w:bidi w:val="0"/>
              <w:spacing w:before="0" w:after="283"/>
              <w:jc w:val="both"/>
              <w:rPr/>
            </w:pPr>
            <w:r>
              <w:rPr/>
              <w:t>We have agreed that, without the prior written consent of the underwriter, we will not, for a period of twelve (12) months from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SEC relating to the offering of any of our equity securities or any securities convertible into or exercisable or exchangeable for our equity securities; or (c) enter into any swap or other agreement that transfers, in whole or in part, any of the economic consequences of ownership of our securities. For additional information, see “</w:t>
            </w:r>
            <w:r>
              <w:rPr>
                <w:i/>
              </w:rPr>
              <w:t>Underwriting</w:t>
            </w:r>
            <w:r>
              <w:rPr/>
              <w:t>.”</w:t>
            </w:r>
          </w:p>
        </w:tc>
      </w:tr>
      <w:tr>
        <w:trPr/>
        <w:tc>
          <w:tcPr>
            <w:tcW w:w="1850"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left"/>
              <w:rPr>
                <w:b/>
              </w:rPr>
            </w:pPr>
            <w:r>
              <w:rPr>
                <w:b/>
              </w:rPr>
              <w:t>Lock-up</w:t>
            </w:r>
          </w:p>
        </w:tc>
        <w:tc>
          <w:tcPr>
            <w:tcW w:w="8355" w:type="dxa"/>
            <w:tcBorders/>
            <w:vAlign w:val="center"/>
          </w:tcPr>
          <w:p>
            <w:pPr>
              <w:pStyle w:val="TableContents"/>
              <w:bidi w:val="0"/>
              <w:spacing w:before="0" w:after="283"/>
              <w:jc w:val="both"/>
              <w:rPr/>
            </w:pPr>
            <w:r>
              <w:rPr/>
              <w:t>We and our directors, executive officers, employees and principal stockholders (holding 5% or more of our common stock have agreed that, without the prior written consent of the underwriter, they will not, subject to certain exceptions, during the period ending 180 days after the date of this prospectus, offer, sell, contract to sell, encumber, grant any option for the sale of or otherwise dispose of any shares of our common stock or any securities convertible into or exercisable or exchangeable for shares of our common stock. For additional information, see “</w:t>
            </w:r>
            <w:r>
              <w:rPr>
                <w:i/>
              </w:rPr>
              <w:t>Underwriting</w:t>
            </w:r>
            <w:r>
              <w:rPr/>
              <w:t>.”</w:t>
            </w:r>
          </w:p>
        </w:tc>
      </w:tr>
    </w:tbl>
    <w:p>
      <w:pPr>
        <w:pStyle w:val="TextBody"/>
        <w:bidi w:val="0"/>
        <w:jc w:val="left"/>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the initial closing of the Private Placement, all officers, directors, and certain principal stockholders (holding 5% or more of our common stock) agreed, subject to certain exceptions, not to dispose of or hedge any shares of common stock or securities convertible into or exchangeable for shares of common stock during the period from July 31, 2023, the date of the lock-up agreement signed in connection with the Private Placement, through July 31, 2024.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6"/>
        <w:gridCol w:w="8579"/>
      </w:tblGrid>
      <w:tr>
        <w:trPr/>
        <w:tc>
          <w:tcPr>
            <w:tcW w:w="1626" w:type="dxa"/>
            <w:tcBorders/>
            <w:vAlign w:val="center"/>
          </w:tcPr>
          <w:p>
            <w:pPr>
              <w:pStyle w:val="TableContents"/>
              <w:bidi w:val="0"/>
              <w:spacing w:before="0" w:after="283"/>
              <w:jc w:val="both"/>
              <w:rPr>
                <w:b/>
              </w:rPr>
            </w:pPr>
            <w:r>
              <w:rPr>
                <w:b/>
              </w:rPr>
              <w:t>Potential insider participation</w:t>
            </w:r>
          </w:p>
        </w:tc>
        <w:tc>
          <w:tcPr>
            <w:tcW w:w="857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and their affiliates have indicated an interest in purchasing shares of common stock in this offering with an aggregate value of approximately $4.5 million at the assumed public offering price. However, because indications of interest are not binding agreements or commitments to purchase, the underwriter may determine to sell more, fewer or no shares in this offering to any of these parties, or any of these parties may determine to purchase more, fewer or no shares in this offering. The underwriter will receive the same underwriting discount on any shares purchased by these parties as they will on any other shares sold to the public in this offering.</w:t>
            </w:r>
          </w:p>
        </w:tc>
      </w:tr>
      <w:tr>
        <w:trPr/>
        <w:tc>
          <w:tcPr>
            <w:tcW w:w="1626" w:type="dxa"/>
            <w:tcBorders/>
            <w:vAlign w:val="center"/>
          </w:tcPr>
          <w:p>
            <w:pPr>
              <w:pStyle w:val="TableContents"/>
              <w:bidi w:val="0"/>
              <w:spacing w:before="0" w:after="283"/>
              <w:jc w:val="both"/>
              <w:rPr/>
            </w:pPr>
            <w:r>
              <w:rPr/>
              <w:t> </w:t>
            </w:r>
          </w:p>
        </w:tc>
        <w:tc>
          <w:tcPr>
            <w:tcW w:w="8579" w:type="dxa"/>
            <w:tcBorders/>
            <w:vAlign w:val="center"/>
          </w:tcPr>
          <w:p>
            <w:pPr>
              <w:pStyle w:val="TableContents"/>
              <w:bidi w:val="0"/>
              <w:spacing w:before="0" w:after="283"/>
              <w:jc w:val="left"/>
              <w:rPr/>
            </w:pPr>
            <w:r>
              <w:rPr/>
              <w:t> </w:t>
            </w:r>
          </w:p>
        </w:tc>
      </w:tr>
      <w:tr>
        <w:trPr/>
        <w:tc>
          <w:tcPr>
            <w:tcW w:w="1626" w:type="dxa"/>
            <w:tcBorders/>
            <w:vAlign w:val="center"/>
          </w:tcPr>
          <w:p>
            <w:pPr>
              <w:pStyle w:val="TableContents"/>
              <w:bidi w:val="0"/>
              <w:spacing w:before="0" w:after="283"/>
              <w:jc w:val="both"/>
              <w:rPr>
                <w:b/>
              </w:rPr>
            </w:pPr>
            <w:r>
              <w:rPr>
                <w:b/>
              </w:rPr>
              <w:t>Risk factors</w:t>
            </w:r>
          </w:p>
        </w:tc>
        <w:tc>
          <w:tcPr>
            <w:tcW w:w="8579" w:type="dxa"/>
            <w:tcBorders/>
            <w:vAlign w:val="center"/>
          </w:tcPr>
          <w:p>
            <w:pPr>
              <w:pStyle w:val="TableContents"/>
              <w:bidi w:val="0"/>
              <w:spacing w:before="0" w:after="283"/>
              <w:jc w:val="both"/>
              <w:rPr/>
            </w:pPr>
            <w:r>
              <w:rPr/>
              <w:t>You should read the “</w:t>
            </w:r>
            <w:r>
              <w:rPr>
                <w:i/>
              </w:rPr>
              <w:t>Risk Factors</w:t>
            </w:r>
            <w:r>
              <w:rPr/>
              <w:t>” section of this prospectus for a discussion of factors to consider carefully before deciding to invest in shares of our common stock.</w:t>
            </w:r>
          </w:p>
        </w:tc>
      </w:tr>
      <w:tr>
        <w:trPr/>
        <w:tc>
          <w:tcPr>
            <w:tcW w:w="1626" w:type="dxa"/>
            <w:tcBorders/>
            <w:vAlign w:val="center"/>
          </w:tcPr>
          <w:p>
            <w:pPr>
              <w:pStyle w:val="TableContents"/>
              <w:bidi w:val="0"/>
              <w:spacing w:before="0" w:after="283"/>
              <w:jc w:val="both"/>
              <w:rPr/>
            </w:pPr>
            <w:r>
              <w:rPr/>
              <w:t> </w:t>
            </w:r>
          </w:p>
        </w:tc>
        <w:tc>
          <w:tcPr>
            <w:tcW w:w="8579" w:type="dxa"/>
            <w:tcBorders/>
            <w:vAlign w:val="center"/>
          </w:tcPr>
          <w:p>
            <w:pPr>
              <w:pStyle w:val="TableContents"/>
              <w:bidi w:val="0"/>
              <w:spacing w:before="0" w:after="283"/>
              <w:jc w:val="both"/>
              <w:rPr/>
            </w:pPr>
            <w:r>
              <w:rPr/>
              <w:t> </w:t>
            </w:r>
          </w:p>
        </w:tc>
      </w:tr>
      <w:tr>
        <w:trPr/>
        <w:tc>
          <w:tcPr>
            <w:tcW w:w="1626" w:type="dxa"/>
            <w:tcBorders/>
            <w:vAlign w:val="center"/>
          </w:tcPr>
          <w:p>
            <w:pPr>
              <w:pStyle w:val="TableContents"/>
              <w:bidi w:val="0"/>
              <w:spacing w:before="0" w:after="283"/>
              <w:jc w:val="left"/>
              <w:rPr>
                <w:b/>
              </w:rPr>
            </w:pPr>
            <w:r>
              <w:rPr>
                <w:b/>
              </w:rPr>
              <w:t>Proposed Nasdaq trading symbol</w:t>
            </w:r>
          </w:p>
        </w:tc>
        <w:tc>
          <w:tcPr>
            <w:tcW w:w="8579"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SERV”</w:t>
            </w:r>
          </w:p>
        </w:tc>
      </w:tr>
    </w:tbl>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The number of shares of common stock to be outstanding after this offering is based on an aggregate of 27,074,766 shares outstanding as of December 31, 2023, after giving effect to (i) the issuance of 2,099,490 shares of our common stock upon the conversion of our convertible promissory notes (based upon the conversion price of $2.42 per share (calculated based upon the assumed public offering price of $4.50 per share (the closing price of our common stock on April 5, 2024 on the OTCQB)) and (ii)17,462 shares of our common stock to be issued upon the cashless exercise of the Wavemaker Warrants (as defined below) (calculated based upon the assumed public offering price of $4.50 per share (the closing price of our common stock on April 5, 2024 on the OTCQB)), each immediately prior to the completion of this offering, but excludes: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1,515,386 shares of common stock issuable upon the exercise of stock options outstanding as of December 31, 2023 that were subject to options originally granted under the 2021 Plan, with a weighted-average exercise price of $0.61 per share;</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1,313,949 shares of common stock available for issuance under the Serve Robotics Inc. 2023 Equity Incentive Plan (the “2023 Plan”) with a weighted-average exercise price of $4.00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Bridge Warrants (as defined herein) to purchase an aggregate of 468,971 shares of our common stock with an exercise price of $3.20 per share as of December 31, 2023;</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Bridge Broker Warrants (as defined herein) to purchase an aggregate of 74,662 shares of our common stock with an exercise price of $3.20 per share as of December 31, 2023;</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Placement Agent A Warrants (as defined below) to purchase an aggregate of 153,909 shares of our common stock with an exercise price of $4.00 per share as of December 31, 2023;</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Placement Agent B Warrants (as defined below) to purchase an aggregate of 250,000 shares of our common stock with an exercise price of $0.001 per share as of December 31, 2023;</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warrants to purchase an aggregate of 13,911 shares of our common stock at the exercise price of $3.89 per share as of December 31, 2023 assumed by us in connection with the Merger;</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outstanding warrant to purchase an aggregate of 2,145,000 shares of our common stock at the exercise price of $0.01 per share issued to Magna in February 2024;</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Offering Warrants to purchase an aggregate of 633,266 shares of our common stock at the exercise price of $2.42 per share (calculated based upon the assumed public offering price of $4.50 per share (the closing price of our common stock on April 5, 2024 on the OTCQB)); and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Warrants to purchase an aggregate of 444,444 shares of our common stock to be issued in connection with this offering.</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Except as otherwise indicated, all information in this prospectus assumes:</w:t>
      </w:r>
    </w:p>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automatic conversion of our convertible promissory notes into shares of common stock immediately prior to the completion of this offering;</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cashless exercise of outstanding warrants to purchase 128,819 shares of common stock with an exercise price of $3.89 as of December 31, 2023 (the “Wavemaker Warrants”) immediately prior to the completion of this offering, pursuant to the terms therein, into an aggregate of          shares of common stock (based upon the assumed public offering price of $4.50 per share);</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exercise or cancellation of other outstanding options and warrants or the repurchase of outstanding unvested restricted stock awards subsequent to December 31, 2023; and</w:t>
            </w:r>
          </w:p>
        </w:tc>
      </w:tr>
    </w:tbl>
    <w:p>
      <w:pPr>
        <w:pStyle w:val="TextBody"/>
        <w:bidi w:val="0"/>
        <w:spacing w:before="0" w:after="0"/>
        <w:jc w:val="left"/>
        <w:rPr>
          <w:caps w:val="false"/>
          <w:smallCaps w:val="false"/>
          <w:bdr w:val="single" w:sz="12" w:space="10" w:color="000000"/>
        </w:rPr>
      </w:pPr>
      <w:r>
        <w:rPr>
          <w:caps w:val="false"/>
          <w:smallCaps w:val="false"/>
          <w:bdr w:val="single" w:sz="12" w:space="10" w:color="000000"/>
        </w:rPr>
        <w:t> </w:t>
      </w:r>
    </w:p>
    <w:tbl>
      <w:tblPr>
        <w:tblW w:w="5000" w:type="pct"/>
        <w:jc w:val="left"/>
        <w:tblInd w:w="0" w:type="dxa"/>
        <w:tblLayout w:type="fixed"/>
        <w:tblCellMar>
          <w:top w:w="0" w:type="dxa"/>
          <w:left w:w="0" w:type="dxa"/>
          <w:bottom w:w="0" w:type="dxa"/>
          <w:right w:w="0" w:type="dxa"/>
        </w:tblCellMar>
      </w:tblPr>
      <w:tblGrid>
        <w:gridCol w:w="72"/>
        <w:gridCol w:w="322"/>
        <w:gridCol w:w="9811"/>
      </w:tblGrid>
      <w:tr>
        <w:trPr/>
        <w:tc>
          <w:tcPr>
            <w:tcW w:w="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no exercise of the underwriter’s over-allotment option.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bdr w:val="single" w:sz="12" w:space="10" w:color="000000"/>
        </w:rPr>
      </w:pPr>
      <w:bookmarkStart w:id="5" w:name="a_004"/>
      <w:bookmarkEnd w:id="5"/>
      <w:r>
        <w:rPr>
          <w:rFonts w:ascii="Times New Roman;Times;Serif" w:hAnsi="Times New Roman;Times;Serif"/>
          <w:b/>
          <w:i w:val="false"/>
          <w:smallCaps/>
          <w:sz w:val="20"/>
          <w:bdr w:val="single" w:sz="12" w:space="10" w:color="000000"/>
        </w:rPr>
        <w:t>SUMMARY FINANCIAL AND OTHER DATA</w:t>
      </w:r>
    </w:p>
    <w:p>
      <w:pPr>
        <w:pStyle w:val="TextBody"/>
        <w:bidi w:val="0"/>
        <w:spacing w:before="0" w:after="0"/>
        <w:ind w:left="0" w:right="0" w:hanging="0"/>
        <w:jc w:val="center"/>
        <w:rPr>
          <w:smallCaps/>
          <w:bdr w:val="single" w:sz="12" w:space="10" w:color="000000"/>
        </w:rPr>
      </w:pPr>
      <w:r>
        <w:rPr>
          <w:smallCaps/>
          <w:bdr w:val="single" w:sz="12" w:space="10"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0" w:color="000000"/>
        </w:rPr>
      </w:pPr>
      <w:r>
        <w:rPr>
          <w:rFonts w:ascii="Times New Roman;Times;Serif" w:hAnsi="Times New Roman;Times;Serif"/>
          <w:b w:val="false"/>
          <w:i/>
          <w:caps w:val="false"/>
          <w:smallCaps w:val="false"/>
          <w:sz w:val="20"/>
          <w:bdr w:val="single" w:sz="12" w:space="10" w:color="000000"/>
        </w:rPr>
        <w:t>The following tables set forth summary financial data as of, and for the years ended, December 31, 2023 and 2022 and should be read together with our consolidated financial statements and the related notes, as well as the sections of this prospectus entitled “Risk Factors” and “Management’s Discussion and Analysis of Financial Condition and Results of Operations” appearing elsewhere in this prospectus. The summary financial data in this section is not intended to replace the financial statements and related notes included elsewhere in this prospectus. Our historical results are not necessarily indicative of the results to be expected in any future period.</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9413" w:type="dxa"/>
        <w:jc w:val="left"/>
        <w:tblInd w:w="0" w:type="dxa"/>
        <w:tblLayout w:type="fixed"/>
        <w:tblCellMar>
          <w:top w:w="0" w:type="dxa"/>
          <w:left w:w="0" w:type="dxa"/>
          <w:bottom w:w="0" w:type="dxa"/>
          <w:right w:w="0" w:type="dxa"/>
        </w:tblCellMar>
      </w:tblPr>
      <w:tblGrid>
        <w:gridCol w:w="6260"/>
        <w:gridCol w:w="60"/>
        <w:gridCol w:w="150"/>
        <w:gridCol w:w="1264"/>
        <w:gridCol w:w="95"/>
        <w:gridCol w:w="60"/>
        <w:gridCol w:w="150"/>
        <w:gridCol w:w="1264"/>
        <w:gridCol w:w="110"/>
      </w:tblGrid>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br/>
              <w:t>December 31,</w:t>
            </w:r>
          </w:p>
        </w:tc>
        <w:tc>
          <w:tcPr>
            <w:tcW w:w="11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207,545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107,819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1,730,262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1,148,426</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(1,522,717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(1,040,607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4,618,499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3,786,124</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2,564,930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2,035,063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9,947,258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13,565,765</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605,205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525,494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Impairment of long-lived assets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19,204,887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19,912,446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(20,727,604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(20,953,053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Interest expense, net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(2,264,426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(636,330</w:t>
            </w:r>
          </w:p>
        </w:tc>
        <w:tc>
          <w:tcPr>
            <w:tcW w:w="110" w:type="dxa"/>
            <w:tcBorders/>
            <w:vAlign w:val="center"/>
          </w:tcPr>
          <w:p>
            <w:pPr>
              <w:pStyle w:val="TableContents"/>
              <w:bidi w:val="0"/>
              <w:spacing w:before="0" w:after="283"/>
              <w:ind w:left="0" w:right="0" w:hanging="180"/>
              <w:jc w:val="left"/>
              <w:rPr/>
            </w:pPr>
            <w:r>
              <w:rPr/>
              <w:t>)</w:t>
            </w:r>
          </w:p>
        </w:tc>
      </w:tr>
      <w:tr>
        <w:trPr/>
        <w:tc>
          <w:tcPr>
            <w:tcW w:w="626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Change in fair value of simple agreements for future equity</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(1,672,706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(265,744</w:t>
            </w:r>
          </w:p>
        </w:tc>
        <w:tc>
          <w:tcPr>
            <w:tcW w:w="110" w:type="dxa"/>
            <w:tcBorders/>
            <w:vAlign w:val="center"/>
          </w:tcPr>
          <w:p>
            <w:pPr>
              <w:pStyle w:val="TableContents"/>
              <w:bidi w:val="0"/>
              <w:spacing w:before="0" w:after="283"/>
              <w:ind w:left="0" w:right="0" w:hanging="180"/>
              <w:jc w:val="left"/>
              <w:rPr/>
            </w:pPr>
            <w:r>
              <w:rPr/>
              <w:t>)</w:t>
            </w:r>
          </w:p>
        </w:tc>
      </w:tr>
      <w:tr>
        <w:trPr/>
        <w:tc>
          <w:tcPr>
            <w:tcW w:w="626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(4,086,132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(902,074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(24,813,736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(21,855,127</w:t>
            </w:r>
          </w:p>
        </w:tc>
        <w:tc>
          <w:tcPr>
            <w:tcW w:w="110" w:type="dxa"/>
            <w:tcBorders/>
            <w:vAlign w:val="center"/>
          </w:tcPr>
          <w:p>
            <w:pPr>
              <w:pStyle w:val="TableContents"/>
              <w:bidi w:val="0"/>
              <w:spacing w:before="0" w:after="283"/>
              <w:ind w:left="0" w:right="0" w:hanging="180"/>
              <w:jc w:val="left"/>
              <w:rPr/>
            </w:pPr>
            <w:r>
              <w:rPr/>
              <w:t>)</w:t>
            </w:r>
          </w:p>
        </w:tc>
      </w:tr>
      <w:tr>
        <w:trPr/>
        <w:tc>
          <w:tcPr>
            <w:tcW w:w="6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260" w:type="dxa"/>
            <w:tcBorders/>
            <w:vAlign w:val="center"/>
          </w:tcPr>
          <w:p>
            <w:pPr>
              <w:pStyle w:val="TableContents"/>
              <w:bidi w:val="0"/>
              <w:spacing w:before="0" w:after="283"/>
              <w:jc w:val="left"/>
              <w:rPr/>
            </w:pPr>
            <w:r>
              <w:rPr/>
              <w:t>Weighted average common shares outstanding – basic and diluted</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14,204,078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tcMar>
              <w:bottom w:w="28" w:type="dxa"/>
            </w:tcMar>
            <w:vAlign w:val="center"/>
          </w:tcPr>
          <w:p>
            <w:pPr>
              <w:pStyle w:val="TableContents"/>
              <w:bidi w:val="0"/>
              <w:spacing w:before="0" w:after="283"/>
              <w:jc w:val="right"/>
              <w:rPr/>
            </w:pPr>
            <w:r>
              <w:rPr/>
              <w:t>6,896,769</w:t>
            </w:r>
          </w:p>
        </w:tc>
        <w:tc>
          <w:tcPr>
            <w:tcW w:w="110" w:type="dxa"/>
            <w:tcBorders/>
            <w:vAlign w:val="center"/>
          </w:tcPr>
          <w:p>
            <w:pPr>
              <w:pStyle w:val="TableContents"/>
              <w:bidi w:val="0"/>
              <w:spacing w:before="0" w:after="283"/>
              <w:ind w:left="0" w:right="0" w:hanging="180"/>
              <w:jc w:val="left"/>
              <w:rPr/>
            </w:pPr>
            <w:r>
              <w:rPr/>
              <w:t> </w:t>
            </w:r>
          </w:p>
        </w:tc>
      </w:tr>
      <w:tr>
        <w:trPr/>
        <w:tc>
          <w:tcPr>
            <w:tcW w:w="6260"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(3.17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0" w:color="000000"/>
        </w:rPr>
      </w:pPr>
      <w:r>
        <w:rPr>
          <w:rFonts w:ascii="Times New Roman;Times;Serif" w:hAnsi="Times New Roman;Times;Serif"/>
          <w:b/>
          <w:i/>
          <w:caps w:val="false"/>
          <w:smallCaps w:val="false"/>
          <w:sz w:val="20"/>
          <w:bdr w:val="single" w:sz="12" w:space="10" w:color="000000"/>
        </w:rPr>
        <w:t>Key Metrics</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val="false"/>
          <w:caps w:val="false"/>
          <w:smallCaps w:val="false"/>
          <w:sz w:val="20"/>
          <w:bdr w:val="single" w:sz="12" w:space="10" w:color="000000"/>
        </w:rPr>
        <w:t>We regularly review the following key business metrics to evaluate our business, measure our performance, identify trends affecting our business, formulate business plans and make strategic decisions: </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tbl>
      <w:tblPr>
        <w:tblW w:w="4145" w:type="dxa"/>
        <w:jc w:val="left"/>
        <w:tblInd w:w="0" w:type="dxa"/>
        <w:tblLayout w:type="fixed"/>
        <w:tblCellMar>
          <w:top w:w="0" w:type="dxa"/>
          <w:left w:w="0" w:type="dxa"/>
          <w:bottom w:w="0" w:type="dxa"/>
          <w:right w:w="0" w:type="dxa"/>
        </w:tblCellMar>
      </w:tblPr>
      <w:tblGrid>
        <w:gridCol w:w="1700"/>
        <w:gridCol w:w="60"/>
        <w:gridCol w:w="152"/>
        <w:gridCol w:w="857"/>
        <w:gridCol w:w="146"/>
        <w:gridCol w:w="146"/>
        <w:gridCol w:w="152"/>
        <w:gridCol w:w="857"/>
        <w:gridCol w:w="75"/>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Metrics</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Daily Active Robots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Daily Supply Hours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caps w:val="false"/>
          <w:smallCaps w:val="false"/>
          <w:sz w:val="20"/>
          <w:bdr w:val="single" w:sz="12" w:space="10" w:color="000000"/>
        </w:rPr>
        <w:t xml:space="preserve">Daily Active Robots: </w:t>
      </w:r>
      <w:r>
        <w:rPr>
          <w:rFonts w:ascii="Times New Roman;Times;Serif" w:hAnsi="Times New Roman;Times;Serif"/>
          <w:b w:val="false"/>
          <w:i w:val="false"/>
          <w:caps w:val="false"/>
          <w:smallCaps w:val="false"/>
          <w:sz w:val="20"/>
          <w:bdr w:val="single" w:sz="12" w:space="10" w:color="000000"/>
        </w:rPr>
        <w:t>We define daily active robots as the average number of robots performing daily deliveries during the period. Daily active robots 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pStyle w:val="TextBody"/>
        <w:bidi w:val="0"/>
        <w:spacing w:before="0" w:after="0"/>
        <w:ind w:left="0" w:right="0" w:hanging="0"/>
        <w:jc w:val="both"/>
        <w:rPr>
          <w:caps w:val="false"/>
          <w:smallCaps w:val="false"/>
          <w:bdr w:val="single" w:sz="12" w:space="10" w:color="000000"/>
        </w:rPr>
      </w:pPr>
      <w:r>
        <w:rPr>
          <w:caps w:val="false"/>
          <w:smallCaps w:val="false"/>
          <w:bdr w:val="single" w:sz="12" w:space="10"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0" w:color="000000"/>
        </w:rPr>
      </w:pPr>
      <w:r>
        <w:rPr>
          <w:rFonts w:ascii="Times New Roman;Times;Serif" w:hAnsi="Times New Roman;Times;Serif"/>
          <w:b w:val="false"/>
          <w:i/>
          <w:caps w:val="false"/>
          <w:smallCaps w:val="false"/>
          <w:sz w:val="20"/>
          <w:bdr w:val="single" w:sz="12" w:space="10" w:color="000000"/>
        </w:rPr>
        <w:t xml:space="preserve">Daily Supply Hours: </w:t>
      </w:r>
      <w:r>
        <w:rPr>
          <w:rFonts w:ascii="Times New Roman;Times;Serif" w:hAnsi="Times New Roman;Times;Serif"/>
          <w:b w:val="false"/>
          <w:i w:val="false"/>
          <w:caps w:val="false"/>
          <w:smallCaps w:val="false"/>
          <w:sz w:val="20"/>
          <w:bdr w:val="single" w:sz="12" w:space="10" w:color="000000"/>
        </w:rPr>
        <w:t>We define daily supply hours as the average number of hours our robots are ready to accept offers and perform daily deliveries during 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6" w:name="a_005"/>
      <w:bookmarkEnd w:id="6"/>
      <w:r>
        <w:rPr>
          <w:rFonts w:ascii="Times New Roman;Times;Serif" w:hAnsi="Times New Roman;Times;Serif"/>
          <w:b/>
          <w:i w:val="false"/>
          <w:smallCaps/>
          <w:sz w:val="20"/>
        </w:rPr>
        <w:t>RISK FACTORS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a high degree of risk. In addition to the other information set forth in this prospectus, you should carefully consider the risk factors discussed below when considering an investment in our common stock and any risk factors that may be set forth in the applicable prospectus supplement, any related free writing prospectus, as well as the other information contained in this prospectus, any applicable prospectus supplement and any related free writing prospectus. If any of the following risks occur, our business, financial condition, results of operations, and prospects could be materially and adversely affected. In that case, the market price of our common stock could decline, and you could lose some or all of your investment. Additional risks and uncertainties not presently known to us or that we currently deem immaterial also may impair our business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an early-stage company with minimal revenue and a history of losses and we expect to continue to incur substantial losses for the foreseeable future, we cannot assure you that we can or will be able to operate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profitable to date, and we expect operating losses for the near future. During the years ended December 31, 2023 and 2022, we generated revenue of $0.21 million and $0.11 million, respectively, and we incurred net losses of approximately $24.81 million and $21.86 million, respectively.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which may make it difficult to evaluate our business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risks associated with businesses in their early stages, with limited operating histories and whose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auditor has issued a “going concern”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has issued a “going concern” opinion on our financial statements, which means they are not sure that we will be able to succeed as a business without additional financing. For the year ended December 31, 2023, the date of our last audited financial statements, we generated $0.21 million in revenue, and we sustained a net loss of $24.81 million. We had an accumulated deficit of $68.33 million as of December 31, 2023. Our ability to continue as a going concern until we reach profitability is dependent upon our ability to generate cash from operating activities and to raise additional capital to fund our operations. While we were successful in raising a cumulative total of approximately $5.0 million in debt financing through February 23, 2024, our ongoing operational expenses are now approximately $1.7 million per month without yet generating any material corresponding revenue. Our failure to raise additional capital could have a negative impact on not only our financial condition but also our ability to execute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we may not be able to design, develop, manufacture, market and launch new generations of our robotic systems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both"/>
              <w:rPr/>
            </w:pPr>
            <w:r>
              <w:rPr/>
              <w:t>●</w:t>
            </w:r>
          </w:p>
        </w:tc>
        <w:tc>
          <w:tcPr>
            <w:tcW w:w="9850" w:type="dxa"/>
            <w:tcBorders/>
            <w:vAlign w:val="center"/>
          </w:tcPr>
          <w:p>
            <w:pPr>
              <w:pStyle w:val="TableContents"/>
              <w:bidi w:val="0"/>
              <w:spacing w:before="0" w:after="283"/>
              <w:jc w:val="both"/>
              <w:rPr/>
            </w:pPr>
            <w:r>
              <w:rPr/>
              <w:t>expanding the management, engineering, and product teams;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w:t>
            </w:r>
          </w:p>
        </w:tc>
        <w:tc>
          <w:tcPr>
            <w:tcW w:w="9927" w:type="dxa"/>
            <w:tcBorders/>
            <w:vAlign w:val="center"/>
          </w:tcPr>
          <w:p>
            <w:pPr>
              <w:pStyle w:val="TableContents"/>
              <w:bidi w:val="0"/>
              <w:spacing w:before="0" w:after="283"/>
              <w:jc w:val="both"/>
              <w:rPr/>
            </w:pPr>
            <w:r>
              <w:rPr/>
              <w:t>identifying and recruiting individuals with the appropriate relevant experience;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498"/>
        <w:gridCol w:w="9596"/>
      </w:tblGrid>
      <w:tr>
        <w:trPr/>
        <w:tc>
          <w:tcPr>
            <w:tcW w:w="1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both"/>
              <w:rPr/>
            </w:pPr>
            <w:r>
              <w:rPr/>
              <w:t>●</w:t>
            </w:r>
          </w:p>
        </w:tc>
        <w:tc>
          <w:tcPr>
            <w:tcW w:w="9596" w:type="dxa"/>
            <w:tcBorders/>
            <w:vAlign w:val="center"/>
          </w:tcPr>
          <w:p>
            <w:pPr>
              <w:pStyle w:val="TableContents"/>
              <w:bidi w:val="0"/>
              <w:spacing w:before="0" w:after="283"/>
              <w:jc w:val="both"/>
              <w:rPr/>
            </w:pPr>
            <w:r>
              <w:rPr/>
              <w:t>hiring and training new personnel;</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8"/>
        <w:gridCol w:w="9841"/>
      </w:tblGrid>
      <w:tr>
        <w:trPr/>
        <w:tc>
          <w:tcPr>
            <w:tcW w:w="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both"/>
              <w:rPr/>
            </w:pPr>
            <w:r>
              <w:rPr/>
              <w:t>●</w:t>
            </w:r>
          </w:p>
        </w:tc>
        <w:tc>
          <w:tcPr>
            <w:tcW w:w="9841" w:type="dxa"/>
            <w:tcBorders/>
            <w:vAlign w:val="center"/>
          </w:tcPr>
          <w:p>
            <w:pPr>
              <w:pStyle w:val="TableContents"/>
              <w:bidi w:val="0"/>
              <w:spacing w:before="0" w:after="283"/>
              <w:jc w:val="both"/>
              <w:rPr/>
            </w:pPr>
            <w:r>
              <w:rPr/>
              <w:t>launching commercialization of new products and services;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both"/>
              <w:rPr/>
            </w:pPr>
            <w:r>
              <w:rPr/>
              <w:t>●</w:t>
            </w:r>
          </w:p>
        </w:tc>
        <w:tc>
          <w:tcPr>
            <w:tcW w:w="9621" w:type="dxa"/>
            <w:tcBorders/>
            <w:vAlign w:val="center"/>
          </w:tcPr>
          <w:p>
            <w:pPr>
              <w:pStyle w:val="TableContents"/>
              <w:bidi w:val="0"/>
              <w:spacing w:before="0" w:after="283"/>
              <w:jc w:val="both"/>
              <w:rPr/>
            </w:pPr>
            <w:r>
              <w:rPr/>
              <w:t>forecasting production and revenue;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entering into relationships with one or more third-party design for manufacturing partners and third-party contract manufacturers and/or expanding our internal manufacturing capabilities;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pPr>
            <w:r>
              <w:rPr/>
              <w:t>●</w:t>
            </w:r>
          </w:p>
        </w:tc>
        <w:tc>
          <w:tcPr>
            <w:tcW w:w="9922" w:type="dxa"/>
            <w:tcBorders/>
            <w:vAlign w:val="center"/>
          </w:tcPr>
          <w:p>
            <w:pPr>
              <w:pStyle w:val="TableContents"/>
              <w:bidi w:val="0"/>
              <w:spacing w:before="0" w:after="283"/>
              <w:jc w:val="both"/>
              <w:rPr/>
            </w:pPr>
            <w:r>
              <w:rPr/>
              <w:t>controlling expenses and investments in anticipation of expanded operations;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carrying out acquisitions and entering into collaborations, in-licensing arrangements, joint ventures, strategic alliances or partnerships;</w:t>
            </w:r>
          </w:p>
        </w:tc>
      </w:tr>
    </w:tbl>
    <w:p>
      <w:pPr>
        <w:pStyle w:val="TextBody"/>
        <w:bidi w:val="0"/>
        <w:spacing w:before="0" w:after="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and enhancing internal information technology, safety and security systems;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611"/>
        <w:gridCol w:w="9458"/>
      </w:tblGrid>
      <w:tr>
        <w:trPr/>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both"/>
              <w:rPr/>
            </w:pPr>
            <w:r>
              <w:rPr/>
              <w:t>●</w:t>
            </w:r>
          </w:p>
        </w:tc>
        <w:tc>
          <w:tcPr>
            <w:tcW w:w="9458" w:type="dxa"/>
            <w:tcBorders/>
            <w:vAlign w:val="center"/>
          </w:tcPr>
          <w:p>
            <w:pPr>
              <w:pStyle w:val="TableContents"/>
              <w:bidi w:val="0"/>
              <w:spacing w:before="0" w:after="283"/>
              <w:jc w:val="both"/>
              <w:rPr/>
            </w:pPr>
            <w:r>
              <w:rPr/>
              <w:t>conducting demonstrations;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9"/>
        <w:gridCol w:w="9877"/>
      </w:tblGrid>
      <w:tr>
        <w:trPr/>
        <w:tc>
          <w:tcPr>
            <w:tcW w:w="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both"/>
              <w:rPr/>
            </w:pPr>
            <w:r>
              <w:rPr/>
              <w:t>●</w:t>
            </w:r>
          </w:p>
        </w:tc>
        <w:tc>
          <w:tcPr>
            <w:tcW w:w="9877" w:type="dxa"/>
            <w:tcBorders/>
            <w:vAlign w:val="center"/>
          </w:tcPr>
          <w:p>
            <w:pPr>
              <w:pStyle w:val="TableContents"/>
              <w:bidi w:val="0"/>
              <w:spacing w:before="0" w:after="283"/>
              <w:jc w:val="both"/>
              <w:rPr/>
            </w:pPr>
            <w:r>
              <w:rPr/>
              <w:t>entering into agreements with suppliers and service providers;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both"/>
              <w:rPr/>
            </w:pPr>
            <w:r>
              <w:rPr/>
              <w:t>●</w:t>
            </w:r>
          </w:p>
        </w:tc>
        <w:tc>
          <w:tcPr>
            <w:tcW w:w="9940" w:type="dxa"/>
            <w:tcBorders/>
            <w:vAlign w:val="center"/>
          </w:tcPr>
          <w:p>
            <w:pPr>
              <w:pStyle w:val="TableContents"/>
              <w:bidi w:val="0"/>
              <w:spacing w:before="0" w:after="283"/>
              <w:jc w:val="both"/>
              <w:rPr/>
            </w:pPr>
            <w:r>
              <w:rPr/>
              <w:t>implementing and enhancing administrative infrastructure, systems, and processes.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achieved market penetration warrant, we intend to continue to hire a significant number of additional personnel, including engineers, design, production,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revenues and profits are subject to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accurately forecast our revenues and operating results, and these could fluctuate in the future due to a number of factors. These factors may include adverse changes in companies’ interests in our robotic delivery and branding services, companies’ available dollars to invest on our services, general economic conditions, our ability to market our company to companies, headcount and other operating costs and general industry and regulatory conditions and requirements. Our operating results may fluctuate from year to year due to the factors listed above and others not listed. At times, these fluctuations may be significant and could impact our ability to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revenue is concentrated with one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is concentrated with one customer, Uber. For the years ended December 31, 2023 and December 31, 2022, sales to Uber accounted for 71% and 50% of our total revenue, respectively. There are inherent risks whenever a large percentage of total revenues are concentrated with a limited number of customers. If Uber were to breach, cancel or amend our agreement to produce our robots, it may have an outsized effect on our revenue, cash on hand and profitability. In addition, we may have an increased interest in accepting less favorable terms of any amendment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general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dependent on companies purchasing our robotic delivery and branding services.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last-mile automation, while higher interest rates have resulted in a decrease in investment activity and overall capital allocation to hardware startups.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may be engaged in a range of business activities that could result in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various potential conflicts of interest because some of our officers and directors may be engaged in a range of business activities.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of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 For example, one of our directors, James Buckley Jordan, currently serves as a director, officer, or advisor to multiple companies, including Miso Robotics and Vebu Labs, that compete in our industry, robotics and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changes in interest rates and foreign currency exchange rates may adversely affect our financial condition, liquidity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We have experienced increased costs in acquiring parts for our robots as a result of the global semiconductor industry facing shortages in supply as well as inflation and increased interest rates. We, or our supply chain partners, could continue to increase prices as a result of other adverse macroeconomic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inability of our supply chain to deliver certain key electrical components, such as semiconductors, could materially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highly complex components used to manufacture our robots are obtained from single or limited sources that we may have to compete for with other participants in the robotics, consumer electronics, and automotive markets. If our supply chain fails to deliver products to us in sufficient quality and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 For example, throughout 2022, we experienced delays in supply chain deliveries, extended lead times and shortages of key components. Supply chain disruptions may delay the timing of production and maintenance of our robots, which in turn could negatively impact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attract and retain highly qualified personnel in the future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 hires often require significant training and, in many cases, take significant time before they achieve full productivity. For example, we recently appointed a new Chief Financial Officer, effective on or around April 29, 2024, and there may be future changes to our executive management team resulting from the hiring or departure of executives, which could disrupt our business.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or legal proceedings could expose us to significant liabilities, occupy a considerable amount of our management’s time and attention and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revenue plans rely on partnering with third-party delivery platforms, brand sponsors and/or direct sales to merchants.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stream of projected revenue comes from maximizing utilization of our robots to perform deliveries. We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in our partnership with Uber driven by the continued improvement in our integration, high merchant participation and widespread product acceptance by users of the Uber platform. We have not yet achieved such levels of utilization with our other partners because those integrations are less complete. To best achieve profitability, we would need to continue to improve our utilization targets with Uber above current levels and maintain those levels with other partners as well. As this requires cooperation by third parties, there is no guarantee that it will be achieved within a specific timeframe.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projections also anticipate generating revenues from brand sponsors who would pay to place their branding on our robots as a form of out-of-home (“OOH”) branding. OOH branding on robots is a new phenomenon and as such, an unproven model. To date, for our limited number of robots, we have been able to run periodic OOH advertising campaigns with several brands in varying sectors including real estate, fashion and entertainment, with 22% and 50% of our revenues for the years ended December 31, 2023 and December 31, 2022, respectively, coming from OOH advertising. In the future, if we are unable to realize these sales, our business model and go-to-market strategy will be jeopardized.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our service providers or disruptions to our outsourcing relationships may negatively impact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remote piloting services are currently provided by third-party vendors, and sometimes from service centers outside of the United States. Services provided pursuant to arrangements with these third-party vendors could be disrupted due to events outside of their control such as power failures, cybersecurity incidents, internet traffic congestion or increased latency or deterioration in their economic condition. Similarly, the expiration of agreements associated with such arrangements or the transition of services between providers could lead to loss of institutional knowledge or service disruptions. While we have not experienced material impact of such disruptions to date, our reliance on others as service providers could have a material adverse effect on our business, financial condition, results of operations and cash flows in the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robots operate in public spaces and any errors caused by human supervisors, network connectivity issues, third-party software or automation may adversely affect our commercial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customers (including merchants, platform partners and brand sponsors) is heavily dependent on our ability to provide a safe and reliable service. Our safety and security track record have been instrumental in helping us attract and retain our existing customers. Because we operate on public sidewalks, the performance of our robots is highly visible and we have to maintain the highest standards for public safety. Our operating procedures and automated systems are designed to ensure that our robots yield the right of way to vehicles, pedestrians, and other sidewalk and road users. Examples include only crossing controlled intersections during a pedestrian “walk” signal and slowing down or stopping if a pedestrian approaches the robot from any direction. Our partners, such as Uber, require timely reporting of any material safety incidents, and if they are not able to ascertain our ability to maintain safe operations, our commercial relationships may be jeopardized. To date, we have not experienced material safety incidents nor have our partners raised any concerns about our safety standards and track record. However, any actual or perceived public safety incidents that may be caused by our human supervisors, network connectivity issues, third-party software or automation may put our commercial relationships and financial viability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robots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require certain third-party software and networks to function safely and effectively, and 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delivery performance or even grounding of our entire fleet until it is resolved, which can adversely impact our ability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benefits to customers of our products could be supplanted by other technologies or solutions or competitors’ products that utilize similar technology to ours in a more effective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experience commercializing our products at a large scale and may not be able to do so efficiently or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reliant on our relationships with suppliers and service providers for the parts and components in our robots, as well as for the manufacture of our robots. If any of these suppliers or service partners choose to not do business with us, we would have significant difficulty in procuring and producing our robots and our business prospects would be significantly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contain hundreds of components which are assembled by third-party manufacturing partners. Collaboration with third parties for the manufacturing of robots is subject to risks with respect to operations that are outside our control. Global supply chain problems directly impact our ability to obtain these components cost-effectively. We could experience delays to the extent our current or future partners do not continue doing business with us, meet agreed upon timelines, experience capacity constraints or otherwise are unable to deliver components or manufacture robots as expected. For example, we have had to delay increasing the number of robots in our fleet due to previous third-party supply restraints. Serve has an agreement with a leading LIDAR vendor to purchase LIDARs at highly competitive prices within a limited timeframe. Failure to leverage this agreement, or secure similar supplier agreements for components that may face availability constraints due to supply chain disruptions can result in higher prices for those components, which in turn increases the cost of manufacturing robots and result in an adverse financial impact to our delivery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 manufacturers’ robots or other robots manufactured by the same partner. In addition, although we intend to be involved in material decisions in the supply chain and manufacturing process, given that we also rely on our partners to meet our quality standards, there can be no assurance that we will be able to maintain high quality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enter into strategic alliances, including joint ventures or minority equity investments, with various third parties to further our business purpose. These alliances could subject us to a number of risks, including risks associated with sharing proprietary information, non-performance by the third party and increased expenses in establishing new strategic alliances, any of which may materially and adversely affect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evolving regulations around personal delivery devices (“PDDs”) could materially impact our business and growth prospects in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Therefore, we proactively engage with lawmakers, academics, standards-setting organizations, urban planning nonprofits, disability rights advocates, senior citizen organizations and regional bicycle coalitions to anticipate and mitigate potential regulatory challenges.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a dozen states across the United States have enacted legislation regulating PDDs, using a definition that includes sidewalk robots such as ours. While these regulations have been largely industry-friendly and intended to streamline the rollout of PDDs in those jurisdictions, they are not yet uniform and may present some challenges as we seek to deploy in new markets. For example, Washington State and the District of Columbia have a 100 lbs. unladen weight restriction and the City of Santa Monica prohibits the operation of autonomous devices on sidewalks, that would require amending in order for us to expand into those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cellular network and radio systems contained in our robots are regulated by the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and other regulatory bodies. Any failure to comply with the Department of Transportation’s storage and transport requirements or the FCC’s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manufacture=, and marketing of our products involve certain inherent risks. Manufacturing or design defects, glitches, malfunctions, connectivity issues between the central processing unit and peripheral vehicle subsystems, operator errors, unanticipated use of our robotic systems and inadequate disclosure of risks relating to the use of sidewalk robots, among other inherent risks, can lead to injury, property damage or other adverse events. We conduct extensive testing of our units, in some instances in collaboration with our customers, to ensure that any such issues can be identified and addressed in advance of commercial launch of the products. However, there can be no assurance that we will be able to identify all such issues or that, if identified, efforts to address them will be effective in all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manufacturing of our products is outsourced, we may not be aware of manufacturing defects that could occur. Such adverse events could lead to unexpected failures in our products and could result, in certain cases, in the removal of our products from the market. A product recall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amplify the risk of failure. Any such occurrence could cause delay in market acceptance of our products, damage to our reputation, product recalls, increased service and warranty costs, product liability claims and loss of revenue relating to such hardware or software defects.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our products perform properly and are used as intended, if operators sustain any injuries while using our products, we could be exposed to liability and our results of operations, financial condition and our reputation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industry that is subject to rapid technological change, and competitors may have or attain more resources and/or greater market recognition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protect, maintain and, if necessary, enforce our intellectual property rights, our ability to develop and commercialize products may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If necessary, we intend to initiate actions to protect our intellectual property, which will be costly and time consuming, and could have an adverse impact on our business, results of operation and financial condition.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of infringement of third-party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may be adversely affected if third parties claim that our products infringed their patent, copyright or other intellectual property rights. We cannot assure you that our products do not, or will not in the future, infringe patents held by others. Although there have been no allegations made to this effect, we cannot assure you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breaches and other disruptions could compromise our proprietary information and expose us to liability, which would cause our business and reputation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you that such system improvements will be sufficient to prevent or limit the damage from any future cyber-attack or network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theft, loss, or misuse of personal data by or about our employees, customers or other third parties, which could increase our expenses, damage our reputation or result in legal or regulatory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have access to sensitive, confidential, or personal data or information regarding our employees and others that is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 For example, in July 2023, third-party actors attempted to steal one of our robots. We are not aware that any data was obtained during any incident of vandalism or attempted theft.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plans require a significant amount of capital. Our future capital needs may require us to sell additional equity or debt securities that may dilute our stockholders or contain terms unfavorable to us or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operate our business and fund our capital expenditures for the next several years.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delivery robotic systems on a large scale, coupled with the fact that our products represent a new product category in the commercial and delivery robotic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 or that such funds, if raised, would be sufficient.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business as projected, both of which could mean that we would be forced to curtail or discontinue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raise additional funds when we need or want them, we may be forced to curtail or abandon our growth plans, which could adversely impact the Company, its business, development, financial condition, operating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raise additional capital in order to develop our technology and scale our commercial delivery operations. However, we may be unable to raise additional capital needed to fund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develop the next version of the Serve robots and scale our commercial delivery operations. We will not be able to continue product development and our commercial deliveries if we cannot raise additional debt and/or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We maintain a banking relationship with Silicon Valley Bank and are required to keep deposits with Silicon Valley Bank pursuant to our Loan and Security Agreement with them. Although we had debt with Silicon Valley Bank at the time of its closure, following the closure, the debt was subsequently assumed by First Citizens Bank &amp; Trust and we have experienced no impacts from the closure.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use of the internet via websites, mobile devices and other platforms, particularly with respect to online food ordering, does not continue, our business and growth prospects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both"/>
              <w:rPr/>
            </w:pPr>
            <w:r>
              <w:rPr/>
              <w:t>●</w:t>
            </w:r>
          </w:p>
        </w:tc>
        <w:tc>
          <w:tcPr>
            <w:tcW w:w="9903" w:type="dxa"/>
            <w:tcBorders/>
            <w:vAlign w:val="center"/>
          </w:tcPr>
          <w:p>
            <w:pPr>
              <w:pStyle w:val="TableContents"/>
              <w:bidi w:val="0"/>
              <w:spacing w:before="0" w:after="283"/>
              <w:jc w:val="both"/>
              <w:rPr/>
            </w:pPr>
            <w:r>
              <w:rPr/>
              <w:t>actual or perceived lack of security of information or privacy protection;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possible disruptions, computer viruses or other damage to internet servers, users’ computers or mobile applications;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both"/>
              <w:rPr/>
            </w:pPr>
            <w:r>
              <w:rPr/>
              <w:t>●</w:t>
            </w:r>
          </w:p>
        </w:tc>
        <w:tc>
          <w:tcPr>
            <w:tcW w:w="9670" w:type="dxa"/>
            <w:tcBorders/>
            <w:vAlign w:val="center"/>
          </w:tcPr>
          <w:p>
            <w:pPr>
              <w:pStyle w:val="TableContents"/>
              <w:bidi w:val="0"/>
              <w:spacing w:before="0" w:after="283"/>
              <w:jc w:val="both"/>
              <w:rPr/>
            </w:pPr>
            <w:r>
              <w:rPr/>
              <w:t>excessive governmental regulation;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pPr>
            <w:r>
              <w:rPr/>
              <w:t>●</w:t>
            </w:r>
          </w:p>
        </w:tc>
        <w:tc>
          <w:tcPr>
            <w:tcW w:w="9931" w:type="dxa"/>
            <w:tcBorders/>
            <w:vAlign w:val="center"/>
          </w:tcPr>
          <w:p>
            <w:pPr>
              <w:pStyle w:val="TableContents"/>
              <w:bidi w:val="0"/>
              <w:spacing w:before="0" w:after="283"/>
              <w:jc w:val="both"/>
              <w:rPr/>
            </w:pPr>
            <w:r>
              <w:rPr/>
              <w:t>unacceptable delays due to actual or perceived limitations of wireless networks.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discretionary spending patterns in the areas in which the restaurants on our partners’ platforms operate and in the economy at large. Economic downturns or other events (like coronavirus variants or similar widespread health/pandemic outbreaks) impacting the United States and global economy could materially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disruptions due to coronavirus or similar health/pandemic events), including high unemployment,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inflation also increases the cost of labor and materials needed to build and operate robots. For example, we have observed an increase in cost of labor for managing and maintaining robots in the field in the past year. However, over a longer time horizon, technological improvements continue to reduce the cost of our key components such as sensors, batteries and computers. While the unit cost of labor for operating robots will increase over time with inflation, robotic delivery leverages labor more efficiently than manual courier delivery. As such, we believe labor inflation increases the cost of manual courier delivery and similar alternatives to robotic delivery more than it increases robotic delivery cost. However, we believe improvements in robot autonomy will continue to reduce the rate of labor usage.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and services are disruptive to the delivery services industries, and important assumptions about the market demand, pricing, adoption rates and sales cycle, for our current and future products and services may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demand for and adoption of our delivery robots is unproven, and important assumptions about the characteristics of targeted markets, pricing and sales cycles may be inaccurate. Although we have engaged in ongoing dialogue with potential customers, we have no binding commitments to purchase products and services. 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the financial projections in this prospectus necessarily reflect various estimates and assumptions that may not prove accurate and these projections could differ materially from actual results because of the risks included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among others. If demand does not develop as expected or if we cannot accurately forecast pricing, adoption rates and sales cycle for our products, our business, results of operations and financial condition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benefits of our products to customers and projected return on investment have not been substantiated through long-term trials 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products’ benefits to customers and projected return on investment have not been substantiated through long-term trials or use. We currently have a limited frame of reference by which to evaluate the performance of our delivery robotic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delivery robotics market could, by association, have a negative impact on perception and customer demand for our delivery robotic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successfully market our robotic systems, the purchase or subscription, adoption and use of these systems may be materially and negatively impacted if our customers resist their use and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delivery vehicles. If our customers resist or delay adoption of our robotic delivery services, our business, prospects, financial condition and operating results will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systems, products, technologies and services and related equipment may have shorter useful lives than we anticipate.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obsolete prior to the end of its lifecycle.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acquisitions, partnerships or joint ventures that we enter into could disrupt our operations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evaluate potential strategic acquisitions of businesses, including partnerships or joint ventures with third parties. We may not be successful in identifying acquisition, partnership or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identify, complete, manage and integrate acquisitions could materially and adversely affect our business, financial condition and results of operations and could cause our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natural disasters, health epidemics and other outbreaks, which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any manufacturing partners and suppliers may rely on complex machinery for production, which involves a significant degree of risk and uncertainty in terms of operational performance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adequately control the costs associated with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manufacture products of sufficient quality on schedule in the future is uncertain, and delays in the design, production and launch of our products could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depends in large part on our ability to execute our plans to design, develop, manufacture, market, deploy and service our products. We intend to outsource the manufacturing of our robotic systems to a third-party manufacturing partner. While this arrangement may lower operating costs, it may have an adverse effect on our flexibility to respond to changing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Laws, regulations and other legislative efforts related to climate change, environmental concerns and health and safety could result in increased operating costs, reduced demand for our products and services or the loss of future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laws and environmental regulations could result in increased operating costs and reduced demand for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robots or utilize energy to deliver our services. In addition, any new regulations or laws in the environmental area might increase the cost of raw materials or key components we use in our robots. Environmental regulations may require us to reduce product energy usage and to participate in compulsory recovery and recycling of our robots or components. We are unable to predict how any future changes will impact us and if such impacts will be material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Severe weather conditions and climate change could have a material adverse impact on our business by reducing the operating hours of our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robots are designed to operate in the common environmental conditions in the markets in which we are deployed. Currently we operate our robots in warm and dry climates, and we do not operate robots under rare or extreme conditions such as strong storms or unusually high or low temperatures. While with each new generation of robots, we plan to continually expand their operating ability (e.g., introducing the ability to manage ice and snow), which we believe in turn could expand our geographic reach, there is no guarantee that our efforts will successfully overcome all severe weather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cybersecurity risks to our operational systems, security systems, infrastructure, integrated software in our products and data processed by us or third-party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foreign anti-corruption and anti-money laundering laws and regulations. We can face criminal liability and other serious consequences for violations, which can harm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U.S. Foreign Corrupt Practices Act of 1977, as amended (the “FCPA”), the U.S. domestic bribery statute contained in 18 U.S.C. § 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Being a public company can be administratively burdensome and will significantly increase our legal and financial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reporting company, 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(the “Dodd-Frank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maintain and evaluate a system of internal controls over financial reporting in compliance with the requirements of Section 404 of the Sarbanes-Oxley Act and the related rules and regulations of the SEC and the Public Company Accounting Oversight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79"/>
        <w:gridCol w:w="9864"/>
      </w:tblGrid>
      <w:tr>
        <w:trPr/>
        <w:tc>
          <w:tcPr>
            <w:tcW w:w="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w:t>
            </w:r>
          </w:p>
        </w:tc>
        <w:tc>
          <w:tcPr>
            <w:tcW w:w="9864" w:type="dxa"/>
            <w:tcBorders/>
            <w:vAlign w:val="center"/>
          </w:tcPr>
          <w:p>
            <w:pPr>
              <w:pStyle w:val="TableContents"/>
              <w:bidi w:val="0"/>
              <w:spacing w:before="0" w:after="283"/>
              <w:jc w:val="both"/>
              <w:rPr/>
            </w:pPr>
            <w:r>
              <w:rPr/>
              <w:t>maintain policies relating to disclosure controls and procedures;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prepare and distribute periodic reports in compliance with our obligations under federal securities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institute a more comprehensive compliance function, including with respect to corporate governance;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both"/>
              <w:rPr/>
            </w:pPr>
            <w:r>
              <w:rPr/>
              <w:t>involve, to a greater degree, our outside legal counsel and accountants in the above activities.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as a group has limited experience in operating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will likely be volatile and an active, liquid and orderly trading market may not develop for our common stock. As a result you may not be able to resell your shares at or above your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quoted and began trading on the OTCQB market in March 2024, and in connection with this offering, we have applied to list our common stock on The Nasdaq Capital Market. Accordingly, we expect our common stock to begin trading on The Nasdaq Capital Market on or around the date of this prospectus, at which point our common stock will cease to be traded on the OTCQB Market. Although have applied for listing, an active trading market for our common stock may not develop or, if it develops, may not be sustained after this offering. The lack of an active market may impair your ability to sell your shares at the time you wish to sell them or at a price that you consider reasonable, which may reduce the fair market value of your shares. Further, an inactive market may also impair our ability to raise capital by selling our common stock and may impair our ability to enter into strategic partnerships or acquire future products or licenses by using our common stock as consideration. We and the underwriter will negotiate to determine the public offering price. The public offering price may be higher than the market price of our common stock after the offering and you may not be able to sell your shares of our common stock at or above the price you paid in the offering. As a result,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following this offering may fluctuate substantially as a result of many factors, some of which are beyond our control. These fluctuations could cause you to lose all or part of the value of your investment in our common stock. Factors that could cause fluctuations in the market price of our common stock include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performance of third parties on whom we rely to manufacture our products, product components and product candidates, including their ability to comply with regulatory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00"/>
        <w:gridCol w:w="9839"/>
      </w:tblGrid>
      <w:tr>
        <w:trPr/>
        <w:tc>
          <w:tcPr>
            <w:tcW w:w="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9" w:type="dxa"/>
            <w:tcBorders/>
            <w:vAlign w:val="center"/>
          </w:tcPr>
          <w:p>
            <w:pPr>
              <w:pStyle w:val="TableContents"/>
              <w:bidi w:val="0"/>
              <w:spacing w:before="0" w:after="283"/>
              <w:jc w:val="both"/>
              <w:rPr/>
            </w:pPr>
            <w:r>
              <w:rPr/>
              <w:t>the success of, and fluctuation in, the sales of our products;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our execution of our sales and marketing, manufacturing and other aspects of our business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results of operations that vary from those of our competitors and the expectations of securities analysts and investors;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expectations as to our future financial performance, including financial estimates by securities analysts and investors;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both"/>
              <w:rPr/>
            </w:pPr>
            <w:r>
              <w:rPr/>
              <w:t>our announcement of significant contracts, acquisitions or capital commitments;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announcements by our competitors of competing products or other initiatives;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both"/>
              <w:rPr/>
            </w:pPr>
            <w:r>
              <w:rPr/>
              <w:t>announcements by third parties of significant claims or proceedings against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pPr>
            <w:r>
              <w:rPr/>
              <w:t>regulatory and reimbursement developments in the United States and abroad;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05"/>
        <w:gridCol w:w="9588"/>
      </w:tblGrid>
      <w:tr>
        <w:trPr/>
        <w:tc>
          <w:tcPr>
            <w:tcW w:w="1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w:t>
            </w:r>
          </w:p>
        </w:tc>
        <w:tc>
          <w:tcPr>
            <w:tcW w:w="9588" w:type="dxa"/>
            <w:tcBorders/>
            <w:vAlign w:val="center"/>
          </w:tcPr>
          <w:p>
            <w:pPr>
              <w:pStyle w:val="TableContents"/>
              <w:bidi w:val="0"/>
              <w:spacing w:before="0" w:after="283"/>
              <w:jc w:val="both"/>
              <w:rPr/>
            </w:pPr>
            <w:r>
              <w:rPr/>
              <w:t>future sales of our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6"/>
        <w:gridCol w:w="9733"/>
      </w:tblGrid>
      <w:tr>
        <w:trPr/>
        <w:tc>
          <w:tcPr>
            <w:tcW w:w="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w:t>
            </w:r>
          </w:p>
        </w:tc>
        <w:tc>
          <w:tcPr>
            <w:tcW w:w="9733" w:type="dxa"/>
            <w:tcBorders/>
            <w:vAlign w:val="center"/>
          </w:tcPr>
          <w:p>
            <w:pPr>
              <w:pStyle w:val="TableContents"/>
              <w:bidi w:val="0"/>
              <w:spacing w:before="0" w:after="283"/>
              <w:jc w:val="both"/>
              <w:rPr/>
            </w:pPr>
            <w:r>
              <w:rPr/>
              <w:t>additions or departures of key personnel;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both"/>
              <w:rPr/>
            </w:pPr>
            <w:r>
              <w:rPr/>
              <w:t>general domestic and international economic conditions unrelated to our performance.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has experienced significant price and volume fluctuations that have often been unrelated or disproportionate to operating performance of individual companies. These broad market factors may adversely affect the market price of our common stock, regardless of our operating performance. In the past, following periods of volatility in the market price of a company’s securities, securities class action litigation has often been instituted. A securities class action suit against us could result in significant liabilities and, regardless of the outcome, could result in substantial costs and the diversion of our management’s attention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Principal Stockholders</w:t>
      </w:r>
      <w:r>
        <w:rPr>
          <w:rFonts w:ascii="Times New Roman;Times;Serif" w:hAnsi="Times New Roman;Times;Serif"/>
          <w:b w:val="false"/>
          <w:i w:val="false"/>
          <w:caps w:val="false"/>
          <w:smallCaps w:val="false"/>
          <w:sz w:val="20"/>
        </w:rPr>
        <w:t>” below for more information regarding the ownership of our outstanding common stock by our principal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Following this offering, our principal stockholders will continue to own a significant percentage of our stock and be able to exert significant control or significant influence over matters subject to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offering, our executive officers, directors, and greater than 5% stockholders, in the aggregate, will continue to own a significant portion of our outstanding common stock. As a result, such persons or their appointees to our board of directors, acting together, will have the ability to significantly influence all matters submitted to our board of directors or stockholders for approval, including the appointment of our management, the election and removal of directors and the approval of any significant transaction, as well as our management and business affairs. In addition, certain of our existing principal stockholders have indicated an interest in purchasing up to an aggregate of approximately $4.5 million in shares of our common stock in this offering at the assumed public offering price. If such principal stockholders were to purchase all of the shares they have indicated an interest in purchasing in this offering, the ability of such persons, acting together, to control or significantly influence such matters will increase. This concentration of ownership may also have the effect of delaying or preventing a change of control of our company or discouraging others from making tender offers for shares of our common stock, which could prevent our stockholders from receiving a premium for their shares. The interests of our principal stockholders may not always coincide with the interests of other stockholders and they may act in a manner that advances their best interests and not necessarily those of other stockholders, including seeking a premium value for their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purchasing common stock in this offering will experience immediate and substantial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assumed public offering price of shares of our common stock is substantially higher than the pro forma as adjusted net tangible book value per outstanding share of our common stock. You will incur immediate and substantial dilution of $(0.12) per share in the pro forma as adjusted net tangible book value of shares of our common stock, based upon the assumed public offering price of $4.50 per share (the closing price of our common stock on April 5, 2024 on the OTCQB). As a result of the dilution to investors purchasing shares in this offering, investors may receive significantly less than the purchase price paid in this offering, if anything, in the event of liquidation. In addition, we have outstanding options and warrants with exercise prices significantly below the public offering price. To the extent outstanding options and warrants are ultimately exercised, there will be further dilution of the common stock sold in this offering. See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 below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Participation in this offering by certain of our existing stockholders would reduce the available public float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existing stockholders, including stockholders who own 5% or more of our outstanding capital stock, have indicated an interest in purchasing shares of our common stock with an aggregate value of approximately $4.5 million at the assumed public offering price in this offering. However, because indications of interest are not binding agreements or commitments to purchase, the underwriter may determine to sell more, fewer or no shares in this offering to any of these directors or stockholders, or any of these directors or stockholders may determine to purchase more, fewer or no shares in this offering. To the extent these existing stockholders purchase any shares in this offering, such purchase could reduce the available public float of our shares because such stockholders may be restricted from selling the shares by restrictions under applicable securities laws. As a result, any purchase of shares by such stockholders in this offering may reduce the liquidity of our common stock relative to what it would have been had these shares been purchased by investors that were not directors or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in the public market could cause our common stock price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this offering, 35,963,655 shares of our common stock will be outstanding (or 37,396,988 shares if the underwriters exercise their option to purchase additional shares from us in full), based on the number of shares outstanding as of December 31, 2023. Of these shares, all of the shares of our common stock sold in this offering (including shares purchased by existing stockholders pursuant to their indications of interest to purchase up to $4.5 million of our common stock at the assumed public offering price) (plus any shares issued upon exercise of the underwriter’s over-allotment option) and 18,960,989 shares of our common stock that have previously been registered for resale will be freely tradable in the public market without restriction or further registration under the Securities Act, unless these shares are held by “affiliates,” as that term is defined in Rule 144 under the Securities Act (including any shares that may purchased by our affiliates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of the remaining shares of common stock following this offering, is currently prohibited or otherwise restricted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or other contractual arrangements, these shares will be able to be sold in the public market beginning 181 days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w:t>
      </w:r>
      <w:r>
        <w:rPr>
          <w:rFonts w:ascii="Times New Roman;Times;Serif" w:hAnsi="Times New Roman;Times;Serif"/>
          <w:b w:val="false"/>
          <w:i/>
          <w:caps w:val="false"/>
          <w:smallCaps w:val="false"/>
          <w:sz w:val="20"/>
        </w:rPr>
        <w:t>Shares Eligible for Future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not use them effectively or may use them in a way with respect to which investors do not approve.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currently intend to use the net proceeds from this offering in the manner described in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elsewhere in this prospectus, our management will have broad discretion in the application of the net proceeds from this offering and could spend the proceeds in ways that do not improve our results of operations or enhance the value of shares of our common stock. The failure by our management to apply these funds effectively could result in financial losses that could have a material adverse effect on our business, cause the market price of shares of our common stock to decline and delay the development of our product candidates. Pending their use, we may invest the net proceeds from this offering in a manner that does not produce income or that loses value. If we do not invest the net proceeds from this offering in ways that enhance stockholder value, we may fail to achieve expected financial results, which could cause the price of shares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designation of our common stock as “penny stock” would limit the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Ownership of penny stock in start-up companies is among the riskiest equity investments. Broker-dealers who sell penny stock must provide purchasers with a standardized risk-disclosure document prepared by the SEC. The document provides information about penny stock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If our common stock is deemed “penny stock”, because of penny stock rules, there may be less trading activity in any market that develops for our common stock in the future and stockholders are likely to have difficulty selling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FINRA sales practice requirements may limit a stockholder’s ability to buy and sell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identified material weaknesses in our internal control over financial reporting as of December 31, 2023. If we fail to develop and maintain an effective system of disclosure controls and internal control over financial reporting, our ability to produce timely and accurate financial statements or comply with applicable laws and regulations could be impaired.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and are required, pursuant to Section 404(a) of the Sarbanes-Oxley Act, to furnish a report by management on, among other things, the effectiveness of its internal control over financial reporting on our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its reporting obligations. Ineffective internal controls could also cause investors to lose confidence in reported financial information, which could have a negative effect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by management is required to include disclosure of any material weaknesses identified in our internal control over financial reporting. However, for as long as we are an “emerging growth company” under the JOBS Act, our independent registered public accounting firm will not be required to attest to the effectiveness of internal control over financial reporting pursuant to Section 404(b) of the Sarbanes-Oxley Act. Management’s assessment of internal controls could detect problems with internal controls, and an independent assessment of the effectiveness of internal controls by our auditors could detect further problems that management’s assessment might not detect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these requirements, we may need to undertake various actions, such as implementing new internal controls and procedures and hiring accounting or internal audit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early stages of developing the system and processing documentation necessary to perform the evaluation needed to comply with Section 404 and we may not be able to complete the required evaluation, testing, and any required remediation in a timely fashion. During the evaluation and testing process, if we identify material weaknesses in internal control over financial reporting, we will be unable to assert that internal control over financial reporting is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elsewhere in this Registration Statement, we completed the Merger on July 31, 2023. Prior to the Merger, Serve was a private company and, therefore, its controls were not required to be designed or maintained in accordance with Rules 13a-15 and 15d-15 under the Exchange Act. The design and implementation of internal control over financial reporting post-Merger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 comprehensive assessment of our internal control over financial reporting as of December 31, 2023. However, management concluded that as of December 31, 2023, we had material weaknesses in our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more than a reasonable possibility that a material misstatement of our annual or interim financial statements will not be prevented or detected on a timely basis. Management concluded that we did not have a comprehensive and formalized accounting and financial reporting policies and procedures manual which details the information needed for our financial reporting process and that we did not have a robust review process by which management could monitor for potential errors or technical accounting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assert that our internal control over financial reporting is effective, or if, once we are no longer an emerging growth company, and we become an accelerated filer or large accelerated filer, our independent registered public accounting firm is unable to express an opinion on the effectiveness of its internal control, including as a result of the material weaknesses described above, we could lose investor confidence in the accuracy and completeness of financial reports, which would cause the price of our common stock to decline, and we may be subject to investigation or sanctions by the SEC. In addition, if we are unable to continue to meet these requirements, we may not be able to remain quoted on any over-the-counter trading system, or following any potential listing on The Nasdaq Capital Market, listed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not being required to have our independent registered public accounting firm audit our internal control over financial reporting under Section 404 of the Sarbanes-Oxley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reduced disclosure obligations regarding executive compensation in our periodic reports and annual report on Form 10-K;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exemptions from the requirements of holding non-binding advisory votes on executive compensation and stockholder approval of any golden parachute payments not previously approved.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an emerging growth company will end as soon as any of the following take place: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the last day of the fiscal year in which we have more than $1.235 billion in annual revenues;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we qualify as a “large accelerated filer,” with at least $700 million of equity securities held by non-affiliates;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we have issued, in any three-year period, more than $1.00 billion in non-convertible debt securities;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the last day of the fiscal year ending after the fifth anniversary of the completion of the Merger.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that became effective upon completion of the Merger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establish a classified board of directors so that not all members of our board are elected at one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8"/>
        <w:gridCol w:w="9988"/>
      </w:tblGrid>
      <w:tr>
        <w:trPr/>
        <w:tc>
          <w:tcPr>
            <w:tcW w:w="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88" w:type="dxa"/>
            <w:tcBorders/>
            <w:vAlign w:val="center"/>
          </w:tcPr>
          <w:p>
            <w:pPr>
              <w:pStyle w:val="TableContents"/>
              <w:bidi w:val="0"/>
              <w:spacing w:before="0" w:after="283"/>
              <w:jc w:val="both"/>
              <w:rPr/>
            </w:pPr>
            <w:r>
              <w:rPr/>
              <w:t>permit only the board of directors to establish the number of directors and fill vacancies on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provide that directors may only be removed “for cause” and only with the approval of two-thirds of our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require super-majority voting to amend some provisions in our amended and restated certificate of incorporation and amended and restated bylaws;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authorize the issuance of “blank check” preferred stock that our board could use to implement a stockholder rights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eliminate the ability of our stockholders to call special meetings of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prohibit stockholder action by written consent, which requires all stockholder actions to be taken at a meeting of our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2"/>
        <w:gridCol w:w="9542"/>
      </w:tblGrid>
      <w:tr>
        <w:trPr/>
        <w:tc>
          <w:tcPr>
            <w:tcW w:w="1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w:t>
            </w:r>
          </w:p>
        </w:tc>
        <w:tc>
          <w:tcPr>
            <w:tcW w:w="9542" w:type="dxa"/>
            <w:tcBorders/>
            <w:vAlign w:val="center"/>
          </w:tcPr>
          <w:p>
            <w:pPr>
              <w:pStyle w:val="TableContents"/>
              <w:bidi w:val="0"/>
              <w:spacing w:before="0" w:after="283"/>
              <w:jc w:val="both"/>
              <w:rPr/>
            </w:pPr>
            <w:r>
              <w:rPr/>
              <w:t>prohibit cumulative voting;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 advance notice requirements for nominations for election to our board or for proposing matters that can be acted upon by stockholders at annual stockholder meetings.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risks related to securities litigation that could result in significant legal expenses and settlement or damage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 and, as a result, your ability to achieve a return on your investment will depend on appreciation in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and we do not intend to pay any cash dividends in the foreseeable future.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unfavorable or inaccurate research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and may continue to be significantly impacted by the worldwide economic downturn due to pandemics, outbreaks of other contagious diseases and other catastrophic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predict the impact any future pandemic, outbreak of other contagious diseases or other catastrophic events will have on our business partners and third-party merchants and suppliers, and we may be adversely impacted as a result of the adverse impact our business partners and third-party merchants and suppliers suffer. For example, if we are unable to produce our robots due to manufacturing strains, we may not be able to build and deploy our robots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Any of the foregoing factors, or other cascading effects of the pandemic that are not currently foreseeable, could adversely impact our business, financial performance and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7" w:name="a_006"/>
      <w:bookmarkEnd w:id="7"/>
      <w:r>
        <w:rPr>
          <w:rFonts w:ascii="Times New Roman;Times;Serif" w:hAnsi="Times New Roman;Times;Serif"/>
          <w:b/>
          <w:i w:val="false"/>
          <w:smallCaps/>
          <w:sz w:val="20"/>
        </w:rPr>
        <w:t>SPECIAL NOTE REGARDING FORWARD-LOOKING STATEMENTS</w:t>
      </w:r>
    </w:p>
    <w:p>
      <w:pPr>
        <w:pStyle w:val="TextBody"/>
        <w:bidi w:val="0"/>
        <w:spacing w:before="0" w:after="0"/>
        <w:ind w:left="0" w:right="0" w:hanging="0"/>
        <w:jc w:val="center"/>
        <w:rPr>
          <w:smallCaps/>
        </w:rPr>
      </w:pPr>
      <w:r>
        <w:rPr>
          <w:small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sections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our Business</w:t>
      </w:r>
      <w:r>
        <w:rPr>
          <w:rFonts w:ascii="Times New Roman;Times;Serif" w:hAnsi="Times New Roman;Times;Serif"/>
          <w:b w:val="false"/>
          <w:i w:val="false"/>
          <w:caps w:val="false"/>
          <w:smallCaps w:val="false"/>
          <w:sz w:val="20"/>
        </w:rPr>
        <w:t>”, includes forward-looking statements within the meaning of Section 27A of the Securities Act and Section 21E of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protect and enforce our intellectual property protection and the scope and duration of such protection;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reliance on third parties, including suppliers, delivery platforms, brand sponsors, software providers and service providers;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operate in public spaces and any errors caused by human supervisors, network connectivity or automation;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robots’ reliance on sophisticated software technology that incorporates third-party components and networks to operate and our ability to maintain licenses for this software technology;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828" w:type="dxa"/>
            <w:tcBorders/>
            <w:vAlign w:val="center"/>
          </w:tcPr>
          <w:p>
            <w:pPr>
              <w:pStyle w:val="TableContents"/>
              <w:bidi w:val="0"/>
              <w:spacing w:before="0" w:after="283"/>
              <w:jc w:val="both"/>
              <w:rPr/>
            </w:pPr>
            <w:r>
              <w:rPr/>
              <w:t>our ability to commercialize our products at a large scale;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t>the competitive industry in which we operate which is subject to rapid technological 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our ability to raise additional capital to develop our technology and scale our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9"/>
        <w:gridCol w:w="9913"/>
      </w:tblGrid>
      <w:tr>
        <w:trPr/>
        <w:tc>
          <w:tcPr>
            <w:tcW w:w="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both"/>
              <w:rPr/>
            </w:pPr>
            <w:r>
              <w:rPr/>
              <w:t>developments and projections relating to our competitors and our industry;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5"/>
        <w:gridCol w:w="9906"/>
      </w:tblGrid>
      <w:tr>
        <w:trPr/>
        <w:tc>
          <w:tcPr>
            <w:tcW w:w="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both"/>
              <w:rPr/>
            </w:pPr>
            <w:r>
              <w:rPr/>
              <w:t>our ability to adequately control the costs associated with our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impact of current and future laws and regulations, especially those related to personal delivery devices;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cybersecurity risks to our operational systems, infrastructure and integrated software by us or third-party vendors;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w:t>
            </w:r>
          </w:p>
        </w:tc>
        <w:tc>
          <w:tcPr>
            <w:tcW w:w="9792" w:type="dxa"/>
            <w:tcBorders/>
            <w:vAlign w:val="center"/>
          </w:tcPr>
          <w:p>
            <w:pPr>
              <w:pStyle w:val="TableContents"/>
              <w:bidi w:val="0"/>
              <w:spacing w:before="0" w:after="283"/>
              <w:jc w:val="both"/>
              <w:rPr/>
            </w:pPr>
            <w:r>
              <w:rPr/>
              <w:t>the development of a market for our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1"/>
        <w:gridCol w:w="9788"/>
      </w:tblGrid>
      <w:tr>
        <w:trPr/>
        <w:tc>
          <w:tcPr>
            <w:tcW w:w="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both"/>
              <w:rPr/>
            </w:pPr>
            <w:r>
              <w:rPr/>
              <w:t>our intended use of proceeds from the offering;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other risks and uncertainties, including those listed under the caption “</w:t>
            </w:r>
            <w:r>
              <w:rPr>
                <w:i/>
              </w:rPr>
              <w:t>Risk Factors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in any applicable prospectus supplement and in any related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in this prospectus, in any applicable prospectus supplement and in any related free writing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Except as required by law, we assume no obligation to update or revise these forward-looking statements for any reason, even if new information becomes available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8" w:name="a_007"/>
      <w:bookmarkEnd w:id="8"/>
      <w:r>
        <w:rPr>
          <w:rFonts w:ascii="Times New Roman;Times;Serif" w:hAnsi="Times New Roman;Times;Serif"/>
          <w:b/>
          <w:i w:val="false"/>
          <w:smallCaps/>
          <w:sz w:val="20"/>
        </w:rPr>
        <w:t>DESCRIPTION OF THE MERGER, THE PRIVATE PLACEMENT, AND RELATED TRANSACTIONS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Bridge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Serve offered and sold $3,001,500 principal amount of its senior subordinated secured convertible notes (the “Bridge Notes”) in a private placement (the “Bridge Financing”) to certain accredited investors. The Bridge Notes bore interest at 10% per annum and were payable on October 21, 2023, subject to earlier conversion as described below. Among the accredited investors who participated in the Bridge Financing were Ali Kashani, our Chief Executive Officer, and Mark Tompkins, who holds greater than 5%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Bridge Notes would have been payable at maturity; however, upon conversion of the Bridge Notes as described below, accrued interest was forgiven. The Bridge Notes were secured by a second priority security interest on all of the assets of Serve and its subsidiary, subject to certain limited exceptions. This security interest terminated upon conversion of the Bridge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Bridge Notes, and the grant of the Bridge Warrants and Bridge Broker Warrants (each as defined below) was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and the Private Placement, the outstanding principal amount of the Bridge Notes was automatically converted into 937,961 shares of our common stock at a conversion price of $3.20 per share, and investors in the Bridge Notes received a warrant to purchase a number of shares of common stock equal to 50% of the number of shares of common stock into which the Bridge Notes were converted, at an exercise price of $3.20 per share for a term of three years (the “Bridge Warrants”). If at any time after the 120th day after the final closing of the Private Placement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 The Bridge Warrants have weighted average anti-dilution protection,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Bridge Notes, Serve paid to Laidlaw &amp; Company (UK) Ltd. and Network 1 Financial Services, Inc. (collectively, the “Bridge Brokers”), each a U.S. registered broker-dealer, cash commissions of 8% of funds raised, or 4% in the case of funds raised from current officers, directors and stockholders of Serve and their respective friends and family (“Insider Investors”), and agreed to cause us to issue to them, upon closing of the Merger and the Private Placement, warrants to purchase a number of shares of Serve’s common stock equal to 8% of the number of shares of common stock into which Bridge Notes, other than those purchased by Insider Investors, would convert at the closing of the Merger and Offering, with an exercise price per share of $3.20 and a term of three years (the “Bridge Broker Warrants”). The Bridge Broker Warrants have weighted average anti-dilution protection,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Brokers were paid an aggregate commission of $239,400 and were entitled to be issued Bridge Broker Warrants to purchase an aggregate of 74,662 shares of our common stock. Serve also reimbursed them $25,000 for their legal and other expenses incurred in connection with the Bridge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indemnify the Bridge Brokers, to the fullest extent permitted by law, against certain liabilities that may be incurred in connection with the Bridge Notes, including certain civil liabilities under the Securities Act, and, where such indemnification is not available, to contribute to the payments the placement agents and its sub-agents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descriptions of the Bridge Warrants and the Bridge Broker Warrants herein are qualified in their entirety by reference to the text thereof filed as exhibits hereto, which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Company, Acquisition Sub and Serve entered into the Merger Agreement. Pursuant to the terms of the Merger Agreement, on July 31, 2023, Acquisition Sub merged with and into Serve, with Serve continuing as the surviving corporation and our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acquired the business of Serve, which designs, develops and operates an advanced, AI-powered robotics mobility platform, with last-mile delivery in cities as its first application. See “</w:t>
      </w:r>
      <w:r>
        <w:rPr>
          <w:rFonts w:ascii="Times New Roman;Times;Serif" w:hAnsi="Times New Roman;Times;Serif"/>
          <w:b w:val="false"/>
          <w:i/>
          <w:caps w:val="false"/>
          <w:smallCaps w:val="false"/>
          <w:sz w:val="20"/>
        </w:rPr>
        <w:t>Description of our Business</w:t>
      </w:r>
      <w:r>
        <w:rPr>
          <w:rFonts w:ascii="Times New Roman;Times;Serif" w:hAnsi="Times New Roman;Times;Serif"/>
          <w:b w:val="false"/>
          <w:i w:val="false"/>
          <w:caps w:val="false"/>
          <w:smallCaps w:val="false"/>
          <w:sz w:val="20"/>
        </w:rPr>
        <w:t>” below</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At the time the certificate of merger reflecting the Merger was filed with the Secretary of State of Delaware, each of Serve’s shares of capital stock issued and outstanding immediately prior to the closing of the Merger was converted into the right to receive 0.8035 shares of our common stock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Company common stock owned by our stockholders prior to the Merger were forfeited and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(i) options to purchase 1,984,951 shares of Serve’s common stock issued and outstanding immediately prior to the closing of the Merger under 2021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SAFEs totaling $15,551,953 were converted into 4,372,613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below for more information. The issuance of shares of our common stock, options or warrants to purchase shares of our common stock to Serve’s former security holders are collectively referred to as the “Share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contained customary representations and warranties and pre- and post-closing covenants of each party and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the Merger, on July 31, 2023, we entered into indemnity agreements with our former officer and directors, pursuant to which we agreed to indemnify such former officer and directors for actions taken by them in their official capacities relating to the consideration, approval and consummation of the Merger and certain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treated as a recapitalization and reverse acquisition for us for financial reporting purposes. Serve is considered the acquirer for accounting purposes, and our historical financial statements before the Merger will be replaced with the historical financial statements of Serve before the Merger in future filings with the SEC. The Merger is intended to be treated as a tax-free reorganization under Section 368(a) of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and they are subject to further contractual restrictions on transfer as described below under “</w:t>
      </w:r>
      <w:r>
        <w:rPr>
          <w:rFonts w:ascii="Times New Roman;Times;Serif" w:hAnsi="Times New Roman;Times;Serif"/>
          <w:b w:val="false"/>
          <w:i/>
          <w:caps w:val="false"/>
          <w:smallCaps w:val="false"/>
          <w:sz w:val="20"/>
        </w:rPr>
        <w:t>Shares Eligible for Future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Effective Time of the Merger, we sold 3,183,671 shares of our common stock in a private placement offering pursuant to the Subscription Agreement by and between the Company and the purchasers of common stock (the “Subscription Agreement”) at a purchase price of $4.00 per share (the “Sale Price”) in multiple closings. The private placement offering is referred to herein as the “Private Placement.” We also issued 937,961 shares of our common stock to convert the outstanding principal and interest of outstanding Bridge Notes in connection with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gross proceeds from the Private Placement were approximately $15.74 million (including the aggregate principal amount of Bridge Notes converted as described above, and before deducting placement agent fees and expenses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including the grant of the Placement Agent Warrants (as defined below), was exempt from registration under Section 4(a)(2) of the Securities Act and Rule 506(b) of Regulation D promulgated by the SEC thereunder. The common stock in the Private Placement was sold to “accredited investors,” as defined in Regulation D, and the Private Placement was conducted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issued to the holders of the Bridge Notes prior to their conversion, Bridge Warrants to purchase 468,971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subject to the closing of the Private Placement, we agreed to pay the placement agents, Aegis Capital Corp. and Network 1 Financial Services, Inc. (the “Placement Agents”), each a U.S. registered broker-dealer, a cash placement fee of 8% of the gross proceeds raised from investors in the Private Placement (or 4% of gross proceeds raised from Insider Investors) and to issue (a) to them warrants to purchase a number of shares of our common stock equal to 8% of the number of shares of common stock sold in the Private Placement (other than to Insider Investors), with a term expiring three years after the common stock begins to trade on Nasdaq or New York Stock Exchange (“NYSE”) and an exercise price of $4.00 per share (the “Placement Agent A Warrants”) and (b) to each of them warrants to purchase 125,000 shares of common stock with the same term as the Placement Agent A Warrants and an exercise price of $0.001 per share (the “Placement Agent B Warrants” and together with the Placement Agent A Warrants, the “Placement Agent Warrants”). We also agreed to pay certain expenses of the Placement Agents in connection with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paid the Placement Agents an aggregate commission of $817,209 (not including the commission paid in connection with the sale of the Bridge Notes) and issued to them Placement Agent A Warrants to purchase 153,909 shares of our common stock and Placement Agent B Warrants to purchase an aggregate of 250,000 shares of our common stock in connection with the closing of the Private Placement. We have also reimbursed the Placement Agents for approximately $60,000 of expenses incurred in connection with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customary exceptions, we have agreed to indemnify the Placement Agents to the fullest extent permitted by law against certain liabilities that may be incurred in connection with the Private Placement, including certain civil liabilities under the Securities Act, and, where such indemnification is not available, to contribute to the payments the Placement Agents and their sub-agents may be required to make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the Private Placement, on July 31, 2023, we entered into a registration rights agreement (the “Registration Rights Agreement”), pursuant to which we agreed that promptly, but no later than 60 calendar days from the final closing of the Private Placement, we would file, subject to customary exceptions, a registration statement with the SEC (the “Registration Statement”), covering (i) the shares of our common stock issued in the Private Placement (including those issued upon conversion of the Bridge Notes); (ii) the shares of our common stock issuable upon exercise of the Bridge Warrants; (iii) the shares of our common stock issuable upon exercise of the Bridge Broker Warrants and the Placement Agent Warrants; (iv) the Merger Shares and (v) 1,500,000 shares of our common stock held by our stockholders prior to the Merger ((i)-(v) collectively, the “Registrable Securities”). We also undertook to use our commercially reasonable efforts to ensure that such Registration Statement is declared effective within 120 calendar days after the final closing of the Private Placement. Such Registration Statement, covering 18,960,989 shares, became effective on December 14,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if (i)  we fail to maintain the effectiveness of the Registration Statement, (ii) the holders of Registrable Securities cannot use the Registration Statement to resell the Registrable Securities for a period of more than 15 consecutive trading days (except for suspension of the use of the Registration Statement during certain Blackout Period (as defined below)), or (iii) following the listing or inclusion for quotation on the OTC Markets, Nasdaq, the NYSE or the NYSE American, trading of our common stock is suspended or halted for more than three full, consecutive trading days ((i)-(iii) collectively, “Registration Events”),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any Registrable Securities that may be resold without manner of sale restrictions, current information requirements, volume limitations or other limitations under Rule 144 or another exemption from registration under the Securities Act. Pursuant to the Registration Rights Agreement “Blackout Period” means, a period in which the Company determines that the registration or distribution of the Registrable Securities to be covered by such registration statement, would be seriously detrimental to the Company and its stockholders, commencing on the day the Company notifies the stockholders that they are required to suspend offers and sales of Registrable Securities and ending on the earlier of (i) the date on which the material non-public information resulting in the Blackout Period is disclosed to the public or ceases to be material or (ii) such time that the Company notifies the stockholders that sales pursuant to the registration statement may resume.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9" w:name="a_008"/>
      <w:bookmarkEnd w:id="9"/>
      <w:r>
        <w:rPr>
          <w:rFonts w:ascii="Times New Roman;Times;Serif" w:hAnsi="Times New Roman;Times;Serif"/>
          <w:b/>
          <w:i w:val="false"/>
          <w:smallCaps/>
          <w:sz w:val="20"/>
        </w:rPr>
        <w:t>MANAGEMENT’S DISCUSSION AND ANALYSIS OF FINANCIAL</w:t>
        <w:br/>
        <w:t>CONDITION AND RESULTS OF OPERATIONS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and other financial information included in this prospectus. Some of the information contained in this discussion and analysis or set forth elsewhere in this prospectus, including information with respect to our plans and strategy for our business, includes forward-looking statements that involve risks and uncertainties as described under the heading “Special Note Regarding Forward-Looking Statements” elsewhere in this prospectus. Accordingly, you should review the disclosure under the heading “Risk Factors” in this prospectus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 Acquisition Corp., Acquisition Sub, and Serve entered into a Merger Agreement. Pursuant to the terms of the Merger Agreement, on the Closing Date, Acquisition Sub merged with and into Serve, with Serve continuing as the surviving corporation and our wholly owned subsidiary. As a result of the Merger, we acquired the business of Serve and will continue the existing business operations of Serve as a public reporting company under the name Serve Robotics Inc. On the Closing Date, Serve’s predecessor was renamed Serve Operating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Acquisition Corp. is not pertinent, and under applicable accounting principles, the historical financial results of Serve, the accounting acquirer, prior to the Merger are considered our historical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are organized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Executive Summary – Summary analysis of financial and other highlights to provide context for the discussion and analysis.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5"/>
        <w:gridCol w:w="9844"/>
      </w:tblGrid>
      <w:tr>
        <w:trPr/>
        <w:tc>
          <w:tcPr>
            <w:tcW w:w="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i/>
              </w:rPr>
            </w:pPr>
            <w:r>
              <w:rPr>
                <w:i/>
              </w:rPr>
              <w:t>Results of Operations – An analysis of our financial results.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Liquidity, and Capital Resources – An analysis of changes in our balance sheets and cash flows and a discussion of our financial condition and potential sources of liquidity.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Critical Accounting Estimates – Accounting estimates that management believes are the most important to understanding the assumptions and judgments incorporated in our financial results and forecasts and involve a significant level of estimation uncertainty.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first product is a low-emissions robot that serves people in public spaces, starting with last-mile food delivery. In 2017, our core technology development began with our co-founders and a growing product and engineering team. In 2020, the team launched delivery robots in Los Angeles performing contactless deliveries during the COVID-19 pandemic shutdowns. By the end of that year, Serve robots had successfully completed over 10,000 commercial deliveries for Postmates in California, augmenting Postmates’ fleet of human couriers.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 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and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Serve entered into a License and Services Agreement (the “LSA”) with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Master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strategic partnership with Magna, on February 7, 2024, we issued the Magna Warrant to purchase up to 2,145,000 shares of our common stock, subject to adjustments as provided therein, at an exercise price of $0.01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shares issued upon exercise of the Magna Warrant will vest and become exercisable upon any “change of control” (as defined in the 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that may be issued pursuant to the exercise of the Magna Warrant are being offered and sold in a transaction exempt from registration under the Securities Act in reliance on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we issued to certain accredited investors convertible promissory notes, for which the Company received an aggregate of $5.0 million in proceeds. The convertible promissory notes bear interest at a rate of 6.00% per year, compounded annually, due and payable upon request by each investor on or after the 12-month anniversary of the original issuance date of each note. The Company may not prepay or repay the notes in cash without the consent of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Serve issued a senior secured promissory note to its Chief Executive Officer for which Serve received $70,000 in proceeds. The note bore interest at 7.67% per annum. The agreement contained a clause that the terms would be updated if subsequent notes were issued at a more favorable term. Serve repaid the note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 Acquisition Corp., Acquisition Sub, and Serve entered into the Merger Agreement. Pursuant to the terms of the Merger Agreement, on the Closing Date, Acquisition Sub merged with and into Serve, with Serve continuing as the surviving corporation and our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acquired the business of Serve, a leading autonomous sidewalk delivery company based in Redwood City, California. See “</w:t>
      </w:r>
      <w:r>
        <w:rPr>
          <w:rFonts w:ascii="Times New Roman;Times;Serif" w:hAnsi="Times New Roman;Times;Serif"/>
          <w:b w:val="false"/>
          <w:i/>
          <w:caps w:val="false"/>
          <w:smallCaps w:val="false"/>
          <w:sz w:val="20"/>
        </w:rPr>
        <w:t>Description of our Business</w:t>
      </w:r>
      <w:r>
        <w:rPr>
          <w:rFonts w:ascii="Times New Roman;Times;Serif" w:hAnsi="Times New Roman;Times;Serif"/>
          <w:b w:val="false"/>
          <w:i w:val="false"/>
          <w:caps w:val="false"/>
          <w:smallCaps w:val="false"/>
          <w:sz w:val="20"/>
        </w:rPr>
        <w:t>.” At the Effective Time, each of Serve’s shares of capital stock issued and outstanding immediately prior to the closing of the Merger was converted into the right to receive 0.8035 of a share of our common stock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our common stock owned by our stockholders prior to the Merger were forfeited and canceled (the “Stock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Merger Agreement, (i) options to purchase 1,984,951 shares of Serve’s common stock issued and outstanding immediately prior to the closing of the Merger under the 2021 Plan were assumed and converted into options to purchase 1,594,800 shares of our common stock, (ii) warrants to purchase 160,323 shares of Serve’s Series Seed preferred stock issued and outstanding immediately prior to the closing of the Merger were assumed and converted into warrants to purchase 128,819 shares of our common stock and (iii) warrants to purchase 17,314 shares of Serve’s common stock issued and outstanding immediately prior to the closing of the Merger were assumed and converted into warrants to purchase 13,911 shares of our common stock and (iv) SAFEs totaling $15,551,953 were converted into 4,372,613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Time of the Merger, we sold 3,183,671 shares of our common stock pursuant to the Private Placement in multiple closings. We also issued 937,961 shares of our common stock to convert the outstanding principal and interest of outstanding Bridge Notes in connection with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in the Private Placement was required to represent that, at the time of the applicable closing, it (i) has a substantive, pre-existing relationship with us, or has direct contact with us or the Placement Agents or other enumerated parties outside of the Private Placement and (ii) did not independently contact us as a result of general solicitation by means of this prospectus, any press release or any other public disclosure disclosing the material terms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Payable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July 2023, the Company issued a senior secured promissory note with its Chief Executive Officer for which the Company received $449,000 in proceeds. The note bore interest at 7.67% per annum and matured upon the Merger. The agreement contained a clause that the terms would be updated if subsequent notes were issued at a more favorable term. Accordingly, based on loans in July 2023, notes were issued that contained a 16% exit fee. Serve repaid the notes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Secured Subordinated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2023, Serve issued Secured Subordinated Promissory Notes (the “Promissory Notes”) to accredited investors in an aggregate principal loan amount of $750,000. Pursuant to the Promissory Notes, the loans accrued interest on the unpaid principal amount at a rate of 18.00% per annum, computed as simple interest. Each holder of the Promissory Notes was entitled to an exit fee equal to 16% of the stated principal amount of such holder’s Promissory Note, less the total amount of interest that accrued on such Promissory Note prior to the closing of the Merger (the “Exit Fee”). Serve repaid the Promissory Notes and the Exit Fee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Outlook And Challenges Facing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industry factors that affect our business which include,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Overall Demand for Last-mile Delivery on Partner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significantly on continued demand for last-mile delivery of food and other items on our partner platforms. This demand can fluctuate based on various market cycles and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 limited number of customers. Sales to Uber represented 71% of our revenues for the year ended December 31, 2023, and if Uber were to breach, cancel, or amend our agreement, it may have an outsized effect on our revenue, cash on hand and profitability. Our business development team is actively pursuing new delivery and branding customers to diversify our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and Market Considerations; Availability of Materials, Labor &amp;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rising gasoline prices, interest rates, consumer confidence and other macroeconomic factors. Inflation can lead to increased cost of material and labor for restaurants and merchants who may in turn raise prices on the item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last-mile delivery as labor becomes more expensive and drives up the cost of delivery by humans.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Supply Chain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shortage of electrical components, including semiconductor chips and other hardware components essential to the manufacturing and maintenance of our robots, continued to impact our supply chain throughout 2023. As a result, we experienced increases in our lead times and costs for certain components to build our robots. Although our supply chain normalized during 2023, we cannot be sure whether global supply chain shortages will impact our future robot build plans. In order to mitigate supply chain risks, we would need to incur higher costs to secure available inventory and place non-cancellable purchase commitments with our suppliers, which could introduce inventory risk if our forecasts and assumptions prove inaccurate. Higher costs of components would impact our cash runway and delays in the manufacturing of our robots would push out our revenue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Governmental and Regulatory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continue to experience operating losses in 2023 and 2024 as we seek to implement our long-term strategic plan, using the net proceeds from the Private Placement to accelerate our development through increased research and development spending, scale our robotic fleet, expand our sales and business development efforts and increase our overall headcount in order to achieve efficiencies through scaled growth. Our goal over the next two years is to scale our operating fleet by a factor of 10 and expand our geographic coverage to new markets beyond our current operating area in Los Angeles. With such an increase, we anticipate proportional increases in capital costs, overhead and operating expenses. Our ability to initially achieve profitability is dependent upon numerous factors, including the development of revenues, general business and economic conditions and other risks and uncertainties, including those listed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currently consists primarily of (1) delivery revenues and (2) revenues from branding.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revenue. </w:t>
      </w:r>
      <w:r>
        <w:rPr>
          <w:rFonts w:ascii="Times New Roman;Times;Serif" w:hAnsi="Times New Roman;Times;Serif"/>
          <w:b w:val="false"/>
          <w:i w:val="false"/>
          <w:caps w:val="false"/>
          <w:smallCaps w:val="false"/>
          <w:sz w:val="20"/>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Operations. </w:t>
      </w:r>
      <w:r>
        <w:rPr>
          <w:rFonts w:ascii="Times New Roman;Times;Serif" w:hAnsi="Times New Roman;Times;Serif"/>
          <w:b w:val="false"/>
          <w:i w:val="false"/>
          <w:caps w:val="false"/>
          <w:smallCaps w:val="false"/>
          <w:sz w:val="20"/>
        </w:rPr>
        <w:t>Operations expenses primarily consist of costs for field operations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w:t>
      </w:r>
      <w:r>
        <w:rPr>
          <w:rFonts w:ascii="Times New Roman;Times;Serif" w:hAnsi="Times New Roman;Times;Serif"/>
          <w:b w:val="false"/>
          <w:i w:val="false"/>
          <w:caps w:val="false"/>
          <w:smallCaps w:val="false"/>
          <w:sz w:val="20"/>
        </w:rPr>
        <w:t>Costs incurred in the research and development of the Company’s products are expensed as incurred. Research and development costs include product design, hardware and software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and Marketing. </w:t>
      </w:r>
      <w:r>
        <w:rPr>
          <w:rFonts w:ascii="Times New Roman;Times;Serif" w:hAnsi="Times New Roman;Times;Serif"/>
          <w:b w:val="false"/>
          <w:i w:val="false"/>
          <w:caps w:val="false"/>
          <w:smallCaps w:val="false"/>
          <w:sz w:val="20"/>
        </w:rPr>
        <w:t>Sales and marketing expenses include personnel costs and public relations expenses. Advertising costs are expensed as incurred and included in 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w:t>
      </w:r>
      <w:r>
        <w:rPr>
          <w:rFonts w:ascii="Times New Roman;Times;Serif" w:hAnsi="Times New Roman;Times;Serif"/>
          <w:b w:val="false"/>
          <w:i w:val="false"/>
          <w:caps w:val="false"/>
          <w:smallCaps w:val="false"/>
          <w:sz w:val="20"/>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stated rates of interest on financing instruments, fees incurred related to financing instruments or accretion of debt discounts.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Fair Value of future equity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SAFEs relate to updated assumptions and estimates are recognized within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of other expenses, consists primarily of income generated from our interest-bearing deposit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and 2022, we generated revenues of $0.21 million and $0.11 million, respectively, and reported net loss of $24.81 million and $21.86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our consolidated financial statements, as of December 31, 2023, we had an accumulated deficit of $68.33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Results of Operations for the Year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operating results as reflected in our unaudited statements of operations during the year ended December 31, 2023 and 2022, respectively, and provides information regarding the dollar and percentage increase (or decrease) during such periods.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00"/>
        <w:gridCol w:w="60"/>
        <w:gridCol w:w="140"/>
        <w:gridCol w:w="1175"/>
        <w:gridCol w:w="95"/>
        <w:gridCol w:w="60"/>
        <w:gridCol w:w="140"/>
        <w:gridCol w:w="1175"/>
        <w:gridCol w:w="95"/>
        <w:gridCol w:w="60"/>
        <w:gridCol w:w="140"/>
        <w:gridCol w:w="1055"/>
        <w:gridCol w:w="110"/>
      </w:tblGrid>
      <w:tr>
        <w:trPr/>
        <w:tc>
          <w:tcPr>
            <w:tcW w:w="59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99,726</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1,730,262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1,148,426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581,836</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(1,522,717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(482,110</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4,618,499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3,786,124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832,375</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2,564,930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2,035,063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529,867</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9,947,258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13,565,765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(3,618,507</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605,205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79,711</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Impairment of long-lived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19,204,887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19,912,446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(707,559</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(20,727,604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(20,953,053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225,449</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Interest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(2,264,426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(636,330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(1,628,096</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(149,000</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Change in fair value of simple agreements for future equity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(1,672,706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(265,744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(1,406,962</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(4,086,132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(902,074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(3,184,058</w:t>
            </w:r>
          </w:p>
        </w:tc>
        <w:tc>
          <w:tcPr>
            <w:tcW w:w="110" w:type="dxa"/>
            <w:tcBorders/>
            <w:shd w:fill="CCEEFF" w:val="clear"/>
            <w:vAlign w:val="center"/>
          </w:tcPr>
          <w:p>
            <w:pPr>
              <w:pStyle w:val="TableContents"/>
              <w:bidi w:val="0"/>
              <w:spacing w:before="0" w:after="283"/>
              <w:jc w:val="left"/>
              <w:rPr/>
            </w:pPr>
            <w:r>
              <w:rPr/>
              <w:t>)</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(24,813,736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(21,855,127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(2,958,609</w:t>
            </w:r>
          </w:p>
        </w:tc>
        <w:tc>
          <w:tcPr>
            <w:tcW w:w="110" w:type="dxa"/>
            <w:tcBorders/>
            <w:vAlign w:val="center"/>
          </w:tcPr>
          <w:p>
            <w:pPr>
              <w:pStyle w:val="TableContents"/>
              <w:bidi w:val="0"/>
              <w:spacing w:before="0" w:after="283"/>
              <w:jc w:val="left"/>
              <w:rPr/>
            </w:pPr>
            <w:r>
              <w:rPr/>
              <w:t>)</w:t>
            </w:r>
          </w:p>
        </w:tc>
      </w:tr>
      <w:tr>
        <w:trPr/>
        <w:tc>
          <w:tcPr>
            <w:tcW w:w="5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Weighted average common shares outstanding - basic and diluted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14,204,078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6,896,769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$0.21 million for the year ended December 31, 2023, compared with $0.11 million for the year ended December 31, 2022. The increase was because 2023 had a full year of operations, whereas 2022 had a partial year, which resulted in more delivery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$1.73 million for the year ended December 31, 2023, compared with $1.15 million for the year ended December 31, 2022. The increase was because 2023 had a full year of operations, whereas 2022 had a partial year, which resulted in more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$0.83 million to $4.62 million for the year ended December 31, 2023 from $3.79 million for the year ended December 31, 2022, due primarily to an increase in costs related to administrative functions, including finance and accounting, legal and human resources, as well as general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 increased $0.53 million to $2.56 million for the year ended December 31, 2023, compared with $2.04 million for the year ended December 31, 2022, due primarily to servicing the larger scale of the robot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which represented 51.8% and 68.1% of total operating expenses for the years ended December 31, 2023 and 2022, respectively, decreased $3.62 million to $9.95 million for the year ended December 31, 2023 from $13.57 million for the year ended December 31, 2022, due primarily to a reduction in workforce effective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$0.08 million to $0.61 million for the year ended December 31, 2023 from $0.53 million for the year ended December 31, 2022, due primarily to an increase in personnel costs and public relations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 impairment of long-lived asset expense of $1.47 million was recognized. Based on evaluating the forecasted cash flows through the assets’ remaining useful life, and technology becoming obsolete once a new generation of robots is expected to launch, in 2024, management concluded to record a full impairment of the assets. Due to the discounted cash flows being negative through the remaining useful life (November 2024), and the technology becoming obsolete once a new generation of robots is launched, it was determined that there was an impairment and the expense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 decreased $0.71 million to $19.20 million for the year ended December 31, 2023 from $19.91 million for the year ended December 31, 2022, due primarily to a reduction in workforce effective December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increased $1.63 million to $2.26 million for the year ended December 31, 2023 compared to $0.64 million for the year ended December 31, 2022. This increase is related to the accretion of debt discounts which is a result of debts entered into that contained redemption features requiring derivative accounting and warrants issued with debt that discounted the debts. The majority of the increase is due to accretion and to a lesser extent, the interest on the Farnam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future equity obligations increased by $1.41 million to $1.67 million for the year ended December 31, 2023 compared to $0.27 million for the year ended December 31, 2022 primarily due to the revaluation of SAFEs immediately prior to conversion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derivative liability increased by $0.15 million to $0.15 million for the year ended December 31, 2023 compared to $0.00 million for the year ended December 31, 2022 primarily due to the revaluation of derivative immediately prior to conversion into common stock, and there was no such derivative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were $4.09 million and $0.9 million for each of the years ended December 31, 2023 and 2022, respectively primarily due to the increases in interest expense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$2.96 million to $24.81 million for the year ended December 31, 2023 from $21.86 million for the same period in 2022. The increase in net loss was primarily attributed to other expenses such as conversion of SAFEs and derivative liability into common stock as well as the impairment on the robot asset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the following key business metrics to evaluate our business, measure our performance, identify trends affecting our business, formulate business plans, and make strategic decisions:</w:t>
      </w:r>
    </w:p>
    <w:tbl>
      <w:tblPr>
        <w:tblW w:w="4942" w:type="dxa"/>
        <w:jc w:val="left"/>
        <w:tblInd w:w="0" w:type="dxa"/>
        <w:tblLayout w:type="fixed"/>
        <w:tblCellMar>
          <w:top w:w="0" w:type="dxa"/>
          <w:left w:w="0" w:type="dxa"/>
          <w:bottom w:w="0" w:type="dxa"/>
          <w:right w:w="0" w:type="dxa"/>
        </w:tblCellMar>
      </w:tblPr>
      <w:tblGrid>
        <w:gridCol w:w="1985"/>
        <w:gridCol w:w="60"/>
        <w:gridCol w:w="169"/>
        <w:gridCol w:w="1080"/>
        <w:gridCol w:w="162"/>
        <w:gridCol w:w="162"/>
        <w:gridCol w:w="168"/>
        <w:gridCol w:w="1081"/>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b/>
              </w:rPr>
            </w:pPr>
            <w:r>
              <w:rPr>
                <w:b/>
              </w:rPr>
              <w:t>Key Metrics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Daily Active Robots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34</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Daily Supply Hours</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260</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211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Daily Active Robots: </w:t>
      </w:r>
      <w:r>
        <w:rPr>
          <w:rFonts w:ascii="Times New Roman;Times;Serif" w:hAnsi="Times New Roman;Times;Serif"/>
          <w:b w:val="false"/>
          <w:i w:val="false"/>
          <w:caps w:val="false"/>
          <w:smallCaps w:val="false"/>
          <w:sz w:val="20"/>
        </w:rPr>
        <w:t>We define daily active robots as the average number of robots performing daily deliveries during the period. Daily active robots 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Daily Supply Hours: </w:t>
      </w:r>
      <w:r>
        <w:rPr>
          <w:rFonts w:ascii="Times New Roman;Times;Serif" w:hAnsi="Times New Roman;Times;Serif"/>
          <w:b w:val="false"/>
          <w:i w:val="false"/>
          <w:caps w:val="false"/>
          <w:smallCaps w:val="false"/>
          <w:sz w:val="20"/>
        </w:rPr>
        <w:t>We define daily supply hours as the average number of hours our robots are ready to accept offers and perform daily deliveries during 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by financing activities is our primary source of liquidity. As of December 31, 2023, we had current assets of $1.46 million and current liabilities of $6.24 million, which included $0.01 million in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raise additional working capital to fund operations through the issuance of stock to investors and/or issuance of notes payable. We believe, but there is no assurance, that the estimated net proceeds of approximately $36.3 million from this offering and our existing cash and cash equivalents will be sufficient to fund our current operating plans through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 is dependent on our ability to raise adequate capital to fund operating losses until we can generate liquidity from our business operations. The report of our independent auditor on the audited financial statements contained in this prospectus includes an explanatory paragraph describing conditions that raise substantial doubt about our ability to continue as a going concern. To the extent sufficient financing is not available, we may not be able to, or may be delayed in, developing our offerings and meeting our obligations. We will continue to evaluate our projected expenditures relative to our available cash and evaluate financing alternatives in order to satisfy our working capital and other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our cash and cash equivalents were $0.01 million. The following table shows a summary of our cash flows for the periods presented in millions:</w:t>
      </w:r>
    </w:p>
    <w:p>
      <w:pPr>
        <w:pStyle w:val="TextBody"/>
        <w:bidi w:val="0"/>
        <w:spacing w:before="0" w:after="0"/>
        <w:ind w:left="0" w:right="0" w:hanging="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4610"/>
        <w:gridCol w:w="60"/>
        <w:gridCol w:w="140"/>
        <w:gridCol w:w="1175"/>
        <w:gridCol w:w="95"/>
        <w:gridCol w:w="60"/>
        <w:gridCol w:w="140"/>
        <w:gridCol w:w="1175"/>
        <w:gridCol w:w="95"/>
        <w:gridCol w:w="60"/>
        <w:gridCol w:w="140"/>
        <w:gridCol w:w="1055"/>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Net cash (used in) provided by:</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(15,970,878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(21,402,786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5,431,908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Investing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(4,914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(4,060,962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4,056,048</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13,266,829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20,213,606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(6,946,777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vAlign w:val="center"/>
          </w:tcPr>
          <w:p>
            <w:pPr>
              <w:pStyle w:val="TableContents"/>
              <w:bidi w:val="0"/>
              <w:spacing w:before="0" w:after="283"/>
              <w:jc w:val="left"/>
              <w:rPr/>
            </w:pPr>
            <w:r>
              <w:rPr/>
              <w:t>(Decrease) increase in cash and cash equivalents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(2,708,963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(5,250,142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2,541,179</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$15.97 and $21.40 million for the years ended December 31, 2023 and 2022, respectively. The decrease of $5.43 million was attributable primarily to a decrease in operating expenses including headcount and personnel costs, research and development, and support to revenue-producing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$0.00 and $4.06 million for the years ended December 31, 2023 and 2022, respectively. The usage of cash in 2022 related to the build of our second-generation robots, whereas in 2023, there were no new builds of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$13.27 and $20.21 million for the years ended December 31, 2023 and 2022, respectively. The decrease of $6.95 million was attributable primarily to reduced proceeds from SAFEs in 2023 compared to 2022, and lower proceeds from Silicon Valley Bank loan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we entered into a term loan with Silicon Valley Bank for gross proceeds of $2.50 million with a maturity date of March 1, 2025. The loan accrues interest at the greater of 3.25% or prime rate. Principal payments commenced on October 1, 2022, and the loan is repayable in 30 installments of principal and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an equipment financing lease agreement with Farnam in June 2022, commencing November 2022, for the cost of building robots, calling for 24 monthly payments of approximately $0.19 million based on an expected total cost of $4.46 million of robot parts and manufacturing costs. In December 2023, the agreement was modified for three monthly payments of approximately $0.03 million and 12 monthly payments of approximately $0.19 million, subject to certain terms and effective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significant contractual obligations as of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3"/>
        <w:gridCol w:w="60"/>
        <w:gridCol w:w="178"/>
        <w:gridCol w:w="1255"/>
        <w:gridCol w:w="60"/>
        <w:gridCol w:w="60"/>
        <w:gridCol w:w="85"/>
        <w:gridCol w:w="1141"/>
        <w:gridCol w:w="60"/>
        <w:gridCol w:w="60"/>
        <w:gridCol w:w="356"/>
        <w:gridCol w:w="1647"/>
        <w:gridCol w:w="60"/>
        <w:gridCol w:w="60"/>
        <w:gridCol w:w="128"/>
        <w:gridCol w:w="982"/>
        <w:gridCol w:w="60"/>
        <w:gridCol w:w="60"/>
        <w:gridCol w:w="60"/>
        <w:gridCol w:w="980"/>
        <w:gridCol w:w="80"/>
      </w:tblGrid>
      <w:tr>
        <w:trPr/>
        <w:tc>
          <w:tcPr>
            <w:tcW w:w="2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Remaining</w:t>
              <w:br/>
              <w:t>Period of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One Year</w:t>
              <w:br/>
              <w:t>and Less</w:t>
              <w:br/>
              <w:t>than</w:t>
              <w:br/>
              <w:t>Three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Three Years and Less</w:t>
              <w:br/>
              <w:t>than</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0" w:type="dxa"/>
            <w:tcBorders/>
            <w:vAlign w:val="center"/>
          </w:tcPr>
          <w:p>
            <w:pPr>
              <w:pStyle w:val="TableContents"/>
              <w:bidi w:val="0"/>
              <w:spacing w:before="0" w:after="283"/>
              <w:jc w:val="left"/>
              <w:rPr/>
            </w:pPr>
            <w:r>
              <w:rPr/>
              <w:t> </w:t>
            </w:r>
          </w:p>
        </w:tc>
      </w:tr>
      <w:tr>
        <w:trPr/>
        <w:tc>
          <w:tcPr>
            <w:tcW w:w="2773" w:type="dxa"/>
            <w:tcBorders/>
            <w:shd w:fill="CCEEFF" w:val="clear"/>
            <w:vAlign w:val="center"/>
          </w:tcPr>
          <w:p>
            <w:pPr>
              <w:pStyle w:val="TableContents"/>
              <w:bidi w:val="0"/>
              <w:spacing w:before="0" w:after="283"/>
              <w:jc w:val="left"/>
              <w:rPr>
                <w:b/>
              </w:rPr>
            </w:pPr>
            <w:r>
              <w:rPr>
                <w:b/>
              </w:rPr>
              <w:t>Operating lease obligations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527,983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214,775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64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742,758</w:t>
            </w:r>
          </w:p>
        </w:tc>
        <w:tc>
          <w:tcPr>
            <w:tcW w:w="80" w:type="dxa"/>
            <w:tcBorders/>
            <w:shd w:fill="CCEEFF" w:val="clear"/>
            <w:vAlign w:val="center"/>
          </w:tcPr>
          <w:p>
            <w:pPr>
              <w:pStyle w:val="TableContents"/>
              <w:bidi w:val="0"/>
              <w:spacing w:before="0" w:after="283"/>
              <w:jc w:val="left"/>
              <w:rPr/>
            </w:pPr>
            <w:r>
              <w:rPr/>
              <w:t> </w:t>
            </w:r>
          </w:p>
        </w:tc>
      </w:tr>
      <w:tr>
        <w:trPr/>
        <w:tc>
          <w:tcPr>
            <w:tcW w:w="2773" w:type="dxa"/>
            <w:tcBorders/>
            <w:vAlign w:val="center"/>
          </w:tcPr>
          <w:p>
            <w:pPr>
              <w:pStyle w:val="TableContents"/>
              <w:bidi w:val="0"/>
              <w:spacing w:before="0" w:after="283"/>
              <w:jc w:val="left"/>
              <w:rPr>
                <w:b/>
              </w:rPr>
            </w:pPr>
            <w:r>
              <w:rPr>
                <w:b/>
              </w:rPr>
              <w:t>Loan Financing Facility</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1,070,000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64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1,320,000</w:t>
            </w:r>
          </w:p>
        </w:tc>
        <w:tc>
          <w:tcPr>
            <w:tcW w:w="80" w:type="dxa"/>
            <w:tcBorders/>
            <w:vAlign w:val="center"/>
          </w:tcPr>
          <w:p>
            <w:pPr>
              <w:pStyle w:val="TableContents"/>
              <w:bidi w:val="0"/>
              <w:spacing w:before="0" w:after="283"/>
              <w:jc w:val="left"/>
              <w:rPr/>
            </w:pPr>
            <w:r>
              <w:rPr/>
              <w:t> </w:t>
            </w:r>
          </w:p>
        </w:tc>
      </w:tr>
      <w:tr>
        <w:trPr/>
        <w:tc>
          <w:tcPr>
            <w:tcW w:w="2773" w:type="dxa"/>
            <w:tcBorders/>
            <w:shd w:fill="CCEEFF" w:val="clear"/>
            <w:vAlign w:val="center"/>
          </w:tcPr>
          <w:p>
            <w:pPr>
              <w:pStyle w:val="TableContents"/>
              <w:bidi w:val="0"/>
              <w:spacing w:before="0" w:after="283"/>
              <w:jc w:val="left"/>
              <w:rPr>
                <w:b/>
              </w:rPr>
            </w:pPr>
            <w:r>
              <w:rPr>
                <w:b/>
              </w:rPr>
              <w:t>Equipment Financing Facility</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CCEEFF" w:val="clear"/>
            <w:tcMar>
              <w:bottom w:w="28" w:type="dxa"/>
            </w:tcMar>
            <w:vAlign w:val="center"/>
          </w:tcPr>
          <w:p>
            <w:pPr>
              <w:pStyle w:val="TableContents"/>
              <w:bidi w:val="0"/>
              <w:spacing w:before="0" w:after="283"/>
              <w:jc w:val="right"/>
              <w:rPr/>
            </w:pPr>
            <w:r>
              <w:rPr/>
              <w:t>2,363,807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2,363,807</w:t>
            </w:r>
          </w:p>
        </w:tc>
        <w:tc>
          <w:tcPr>
            <w:tcW w:w="80" w:type="dxa"/>
            <w:tcBorders/>
            <w:shd w:fill="CCEEFF" w:val="clear"/>
            <w:vAlign w:val="center"/>
          </w:tcPr>
          <w:p>
            <w:pPr>
              <w:pStyle w:val="TableContents"/>
              <w:bidi w:val="0"/>
              <w:spacing w:before="0" w:after="283"/>
              <w:jc w:val="left"/>
              <w:rPr/>
            </w:pPr>
            <w:r>
              <w:rPr/>
              <w:t> </w:t>
            </w:r>
          </w:p>
        </w:tc>
      </w:tr>
      <w:tr>
        <w:trPr/>
        <w:tc>
          <w:tcPr>
            <w:tcW w:w="2773" w:type="dxa"/>
            <w:tcBorders/>
            <w:vAlign w:val="center"/>
          </w:tcPr>
          <w:p>
            <w:pPr>
              <w:pStyle w:val="TableContents"/>
              <w:bidi w:val="0"/>
              <w:spacing w:before="0" w:after="283"/>
              <w:jc w:val="left"/>
              <w:rPr>
                <w:b/>
              </w:rPr>
            </w:pPr>
            <w:r>
              <w:rPr>
                <w:b/>
              </w:rPr>
              <w:t>Total</w:t>
            </w:r>
          </w:p>
        </w:tc>
        <w:tc>
          <w:tcPr>
            <w:tcW w:w="6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5" w:type="dxa"/>
            <w:tcBorders>
              <w:bottom w:val="double" w:sz="10" w:space="0" w:color="000000"/>
            </w:tcBorders>
            <w:tcMar>
              <w:bottom w:w="28" w:type="dxa"/>
            </w:tcMar>
            <w:vAlign w:val="center"/>
          </w:tcPr>
          <w:p>
            <w:pPr>
              <w:pStyle w:val="TableContents"/>
              <w:bidi w:val="0"/>
              <w:spacing w:before="0" w:after="283"/>
              <w:jc w:val="right"/>
              <w:rPr>
                <w:b/>
              </w:rPr>
            </w:pPr>
            <w:r>
              <w:rPr>
                <w:b/>
              </w:rPr>
              <w:t>3,961,790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bottom w:val="double" w:sz="10" w:space="0" w:color="000000"/>
            </w:tcBorders>
            <w:tcMar>
              <w:bottom w:w="28" w:type="dxa"/>
            </w:tcMar>
            <w:vAlign w:val="center"/>
          </w:tcPr>
          <w:p>
            <w:pPr>
              <w:pStyle w:val="TableContents"/>
              <w:bidi w:val="0"/>
              <w:spacing w:before="0" w:after="283"/>
              <w:jc w:val="left"/>
              <w:rPr/>
            </w:pPr>
            <w:r>
              <w:rPr/>
              <w:t> </w:t>
            </w:r>
          </w:p>
        </w:tc>
        <w:tc>
          <w:tcPr>
            <w:tcW w:w="1141" w:type="dxa"/>
            <w:tcBorders>
              <w:bottom w:val="double" w:sz="10" w:space="0" w:color="000000"/>
            </w:tcBorders>
            <w:tcMar>
              <w:bottom w:w="28" w:type="dxa"/>
            </w:tcMar>
            <w:vAlign w:val="center"/>
          </w:tcPr>
          <w:p>
            <w:pPr>
              <w:pStyle w:val="TableContents"/>
              <w:bidi w:val="0"/>
              <w:spacing w:before="0" w:after="283"/>
              <w:jc w:val="right"/>
              <w:rPr>
                <w:b/>
              </w:rPr>
            </w:pPr>
            <w:r>
              <w:rPr>
                <w:b/>
              </w:rPr>
              <w:t>464,775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bottom w:val="double" w:sz="10" w:space="0" w:color="000000"/>
            </w:tcBorders>
            <w:tcMar>
              <w:bottom w:w="28" w:type="dxa"/>
            </w:tcMar>
            <w:vAlign w:val="center"/>
          </w:tcPr>
          <w:p>
            <w:pPr>
              <w:pStyle w:val="TableContents"/>
              <w:bidi w:val="0"/>
              <w:spacing w:before="0" w:after="283"/>
              <w:jc w:val="left"/>
              <w:rPr/>
            </w:pPr>
            <w:r>
              <w:rPr/>
              <w:t> </w:t>
            </w:r>
          </w:p>
        </w:tc>
        <w:tc>
          <w:tcPr>
            <w:tcW w:w="1647"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bottom w:val="double" w:sz="10" w:space="0" w:color="000000"/>
            </w:tcBorders>
            <w:tcMar>
              <w:bottom w:w="28" w:type="dxa"/>
            </w:tcMar>
            <w:vAlign w:val="center"/>
          </w:tcPr>
          <w:p>
            <w:pPr>
              <w:pStyle w:val="TableContents"/>
              <w:bidi w:val="0"/>
              <w:spacing w:before="0" w:after="283"/>
              <w:jc w:val="left"/>
              <w:rPr/>
            </w:pPr>
            <w:r>
              <w:rPr/>
              <w:t> </w:t>
            </w:r>
          </w:p>
        </w:tc>
        <w:tc>
          <w:tcPr>
            <w:tcW w:w="982"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b/>
              </w:rPr>
            </w:pPr>
            <w:r>
              <w:rPr>
                <w:b/>
              </w:rPr>
              <w:t>4,426,565</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we entered into a strategic supply agreement with a manufacturer of component parts used for our robot assets. The agreement calls for a minimum of $2.30 million in purchases over a two-year period ending December 2023. At the end of the two-year period, the vendor may invoice us for any shortfall in orders. As of December 31, 2023, the minimum purchase commitment was extended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minimum spend agreements related to simulation software and storage services. The purchase commitments extend for a period of two to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such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and the related notes thereto included in this report are prepared in accordance with United States generally accepted accounting principles. The preparation of consolidated financial statements also requires us to make estimates and assumptions that affect the reported amounts of assets, liabilities, revenue, costs and expenses and related disclosures. Our most critical accounting estimates relate to impairment of long-lived assets, valuation of SAFEs, stock-based compensation and right of use assets and liabilities. These estimates are critical as they require management judgment for inputs that are not observable. These estimates are developed based on historical experience and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 and cash flows will be affected. We believe that the accounting policies described below involve a greater degree of judgment and complexity. Accordingly, these are the policies we believe are most critical to aid in fully understanding and evaluating our consolidated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revenue in accordance with ASC 606 – Revenue from Contracts with Customers (“ASC 606”). We determine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Identification of a contract with a customer;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5"/>
        <w:gridCol w:w="9845"/>
      </w:tblGrid>
      <w:tr>
        <w:trPr/>
        <w:tc>
          <w:tcPr>
            <w:tcW w:w="6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Identification of the performance obligations in the contract;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50"/>
        <w:gridCol w:w="9655"/>
      </w:tblGrid>
      <w:tr>
        <w:trPr/>
        <w:tc>
          <w:tcPr>
            <w:tcW w:w="1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w:t>
            </w:r>
          </w:p>
        </w:tc>
        <w:tc>
          <w:tcPr>
            <w:tcW w:w="9655" w:type="dxa"/>
            <w:tcBorders/>
            <w:vAlign w:val="center"/>
          </w:tcPr>
          <w:p>
            <w:pPr>
              <w:pStyle w:val="TableContents"/>
              <w:bidi w:val="0"/>
              <w:spacing w:before="0" w:after="283"/>
              <w:jc w:val="both"/>
              <w:rPr/>
            </w:pPr>
            <w:r>
              <w:rPr/>
              <w:t>Determination of the transaction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Allocation of the transaction price to the performance obligations in the contract;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Recognition of revenue when or as the performance obligations are satisfied.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customers, in an amount that reflects the consideration we expect to be entitled to in exchange for those goods or services. As a practical expedient, we do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initial revenues from our delivery services as well as branding fees. For delivery services, we satisfy our performance obligation when the delivery is complete, which is the point in time control of the delivered product transfers to the customer. We recognize branding fees over time as performance obligations are completed over the term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leases under ASC 842 – Leases. We do not apply the recognition requirements for leases with a term of twelve months or less. We determine if an arrangement is a lease, or includes an embedded lease, at inception for each contract or agreement. A contract is or contains an embedded lease if the contract meets all of the below criteria:</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200"/>
        <w:gridCol w:w="21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an identified asset;</w:t>
            </w:r>
          </w:p>
        </w:tc>
      </w:tr>
    </w:tbl>
    <w:p>
      <w:pPr>
        <w:pStyle w:val="TextBody"/>
        <w:bidi w:val="0"/>
        <w:spacing w:before="0" w:after="0"/>
        <w:ind w:left="0" w:right="0" w:firstLine="72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260"/>
        <w:gridCol w:w="55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obtain substantially all of the economic benefits of the asset; and</w:t>
            </w:r>
          </w:p>
        </w:tc>
      </w:tr>
    </w:tbl>
    <w:p>
      <w:pPr>
        <w:pStyle w:val="TextBody"/>
        <w:bidi w:val="0"/>
        <w:spacing w:before="0" w:after="0"/>
        <w:ind w:left="0" w:right="0" w:firstLine="72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320"/>
        <w:gridCol w:w="37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the right to direct the use of the asset.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lease agreements include office and warehouse space. Right-of-use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we use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we use the effective interest rate method to account for the lease liability as lease payments are made and the ROU asset is amortized in a manner that results in straight-line expense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the practical expedient not to recognize leases with an initial term of 12 months or less on our balance sheets and lease expense is recognized on a straight-line basis over the term of the short-term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stock-based compensation in accordance with ASC 718, </w:t>
      </w:r>
      <w:r>
        <w:rPr>
          <w:rFonts w:ascii="Times New Roman;Times;Serif" w:hAnsi="Times New Roman;Times;Serif"/>
          <w:b w:val="false"/>
          <w:i/>
          <w:caps w:val="false"/>
          <w:smallCaps w:val="false"/>
          <w:sz w:val="20"/>
        </w:rPr>
        <w:t xml:space="preserve">Compensation – Stock Compensation. </w:t>
      </w:r>
      <w:r>
        <w:rPr>
          <w:rFonts w:ascii="Times New Roman;Times;Serif" w:hAnsi="Times New Roman;Times;Serif"/>
          <w:b w:val="false"/>
          <w:i w:val="false"/>
          <w:caps w:val="false"/>
          <w:smallCaps w:val="false"/>
          <w:sz w:val="20"/>
        </w:rPr>
        <w:t>We measure all stock-based awards granted to employees, directors and non-employee consultants based on the fair value on the date of the grant and recognizes compensation expense for those awards, net of estimated forfeitures, over the requisite service period, which is generally the vesting period of the respective award. For awards with service-based vesting conditions, we record the expense for using the straight-line method. For awards with performance-based vesting conditions, we record the expense if and when we conclude that it is probable that the performance condition will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stock-based compensation expenses in our statement of operations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grant is estimated on the date of grant using the Black-Scholes option-pricing model. We historically have been a private company and lacks company-specific historical and implied volatility information for our stock. Therefore, we estimate our expected stock price volatility based on the historical volatility of publicly traded peer companies and expect to continue to do so until such time as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expenses could be materially different for future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Time (i) Grassi &amp; Co., CPAs, P.C. (“Grassi”), was dismissed as the independent registered public accounting firm of the Company and (ii) our board of directors engaged dbbmckennon (“dbbmckennon”) as the independent registered public accounting firm to audit Serve’s financial statements for the fiscal years ended December 31, 2022 and 2021 and to audit our financial statements for the fiscal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2022 and 2021, and the subsequent interim period through the date of Grassi’s dismissal, there were no disagreements with Grassi on any matter of accounting principles or practices, financial statement disclosure or auditing scope or procedure, which disagreements, if not resolved to the satisfaction of Grassi, would have caused it to make reference to the subject matter thereof in connection with its report, nor did its report contain an adverse opinion or a disclaimer of opinion, or was qualified or modified as to uncertainty, audit scope or accounting principle.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2022 and 2021, and the subsequent interim period through the date of Grassi’s dismissal, neither we nor anyone acting on our behalf consulted dbbmckennon regarding the application of accounting principles to a specified transaction, either completed or proposed, or the type of audit opinion that might be rendered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0" w:name="a_009"/>
      <w:bookmarkEnd w:id="10"/>
      <w:r>
        <w:rPr>
          <w:rFonts w:ascii="Times New Roman;Times;Serif" w:hAnsi="Times New Roman;Times;Serif"/>
          <w:b/>
          <w:i w:val="false"/>
          <w:smallCaps/>
          <w:sz w:val="20"/>
        </w:rPr>
        <w:t>BUSINESS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Formation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Operating Co. was incorporated in the State of Delaware on January 15, 2021. Serve is a spin-off of Uber, a global ride-hailing and last-mile delivery platform. The Serve initiative was initially formed in 2017 as the X division of Postmates, a pioneering food delivery startup in the United States. Uber acquired Postmates in 2020, including the Postmates X 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2021, Uber’s leadership agreed to contribute the intellectual property developed by the Postmates X division team, the related assets, as well as a capital investment to Serve in return for a minority equity interest 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Terms and Abbreviations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glossary of technical terms used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AI — </w:t>
      </w:r>
      <w:r>
        <w:rPr>
          <w:rFonts w:ascii="Times New Roman;Times;Serif" w:hAnsi="Times New Roman;Times;Serif"/>
          <w:b w:val="false"/>
          <w:i w:val="false"/>
          <w:caps w:val="false"/>
          <w:smallCaps w:val="false"/>
          <w:sz w:val="20"/>
        </w:rPr>
        <w:t>Artificial Intelligence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AV — </w:t>
      </w:r>
      <w:r>
        <w:rPr>
          <w:rFonts w:ascii="Times New Roman;Times;Serif" w:hAnsi="Times New Roman;Times;Serif"/>
          <w:b w:val="false"/>
          <w:i w:val="false"/>
          <w:caps w:val="false"/>
          <w:smallCaps w:val="false"/>
          <w:sz w:val="20"/>
        </w:rPr>
        <w:t>Autonomous Vehicle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GHG — </w:t>
      </w:r>
      <w:r>
        <w:rPr>
          <w:rFonts w:ascii="Times New Roman;Times;Serif" w:hAnsi="Times New Roman;Times;Serif"/>
          <w:b w:val="false"/>
          <w:i w:val="false"/>
          <w:caps w:val="false"/>
          <w:smallCaps w:val="false"/>
          <w:sz w:val="20"/>
        </w:rPr>
        <w:t>Greenhouse Gases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GPS — </w:t>
      </w:r>
      <w:r>
        <w:rPr>
          <w:rFonts w:ascii="Times New Roman;Times;Serif" w:hAnsi="Times New Roman;Times;Serif"/>
          <w:b w:val="false"/>
          <w:i w:val="false"/>
          <w:caps w:val="false"/>
          <w:smallCaps w:val="false"/>
          <w:sz w:val="20"/>
        </w:rPr>
        <w:t>Global Positioning System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GPU — </w:t>
      </w:r>
      <w:r>
        <w:rPr>
          <w:rFonts w:ascii="Times New Roman;Times;Serif" w:hAnsi="Times New Roman;Times;Serif"/>
          <w:b w:val="false"/>
          <w:i w:val="false"/>
          <w:caps w:val="false"/>
          <w:smallCaps w:val="false"/>
          <w:sz w:val="20"/>
        </w:rPr>
        <w:t>Graphical Processing Unit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IMU — </w:t>
      </w:r>
      <w:r>
        <w:rPr>
          <w:rFonts w:ascii="Times New Roman;Times;Serif" w:hAnsi="Times New Roman;Times;Serif"/>
          <w:b w:val="false"/>
          <w:i w:val="false"/>
          <w:caps w:val="false"/>
          <w:smallCaps w:val="false"/>
          <w:sz w:val="20"/>
        </w:rPr>
        <w:t>Inertial Measurement Unit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LIDAR — </w:t>
      </w:r>
      <w:r>
        <w:rPr>
          <w:rFonts w:ascii="Times New Roman;Times;Serif" w:hAnsi="Times New Roman;Times;Serif"/>
          <w:b w:val="false"/>
          <w:i w:val="false"/>
          <w:caps w:val="false"/>
          <w:smallCaps w:val="false"/>
          <w:sz w:val="20"/>
        </w:rPr>
        <w:t>A digital sensor for measuring distance to objects which uses the principle of radar, but uses light from a laser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ODD — </w:t>
      </w:r>
      <w:r>
        <w:rPr>
          <w:rFonts w:ascii="Times New Roman;Times;Serif" w:hAnsi="Times New Roman;Times;Serif"/>
          <w:b w:val="false"/>
          <w:i w:val="false"/>
          <w:caps w:val="false"/>
          <w:smallCaps w:val="false"/>
          <w:sz w:val="20"/>
        </w:rPr>
        <w:t>Operating Design Domain describes the specific operating conditions in which the automated driving system is designed to properly operate, including but not limited to roadway types, speed range and environmental conditions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Reverse Logistics — </w:t>
      </w:r>
      <w:r>
        <w:rPr>
          <w:rFonts w:ascii="Times New Roman;Times;Serif" w:hAnsi="Times New Roman;Times;Serif"/>
          <w:b w:val="false"/>
          <w:i w:val="false"/>
          <w:caps w:val="false"/>
          <w:smallCaps w:val="false"/>
          <w:sz w:val="20"/>
        </w:rPr>
        <w:t>A type of supply chain management that moves goods from customers back to the sellers or manufacturers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 a mission to deliver a sustainable future by transforming how goods move among people.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has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Serve aims to reshape cities into sustainable, safe, and people-friendly environments, with thriving local economies.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first product is a low-emissions robot that serves people in public spaces, starting with food delivery. In 2017, our core technology development began with our co-founders and a growing product and engineering team. In 2020, the team launched delivery robots in Los Angeles performing contactless deliveries during the COVID-19 pandemic shutdowns. By the end of that year, Serve robots had successfully completed over 10,000 commercial deliveries for Postmates in California, augmenting Postmates’ fleet of human couriers.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spinning off from Uber in 2021, Serve established a commercial partnership with Uber, with deliveries starting in January 2022 on a small scale. In May 2022, Uber announced a pilot program with Serve, and by June, it executed a commercial-scale agreement with Serve to deploy up to 2,000 of its robots across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current fleet consists of over 100 robots, and we plan to expand our fleet by building and deploying hundreds of new robots in the coming years after raising additional rounds of financing. Our goal is to deploy all 2,000 Uber robots by the end of 2025, though the exact timing and robot quantity will be determined by future capital availability. We currently do not expect to be able to build and deploy robots in 2024 based on our existing capital. We have platform-level integrations with Uber Eats and 7-Eleven, Inc. in Los Angeles, California, which means Serve robots can provide real-time presence and status updates on those platforms and receive requests to perform deliveries with respect to customer orders placed on those platforms as needed. We have also successfully conducted pilots for Walmart, a major pizza quick service restaurant and a major coffee shop chain. To date, Uber Eats is the only partner for whom we have completed a material number of deliveries. Our strategic investors include NVIDIA, Uber, 7-Ventures and Delivery Hero’s corporate venture units, alongside other world-class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in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Last-Mile Delivery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 technological innovations of the past few decades as well as growing adoption of online commerce and home delivery, last-mile delivery has remained costly and inefficient. From 2020 to 2023, DoorDash, the largest food delivery platform in the United States, reported nearly 200% in revenue growth, while cost of revenue increased 235% over that four-year period. By our own estimate, in addition to cost of labor, issues such as fraud and refunds caused by driver error (for example, failed deliveries or missing items) increase average delivery cost of couriers by over $1.00 per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on-demand delivery, next-day parcel delivery has also struggled with last-mile cost. For example, in May 2023, Amazon announced a program to reduce its delivery costs by offering certain customers $10 to pick up items from nearby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Tailwinds for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an ever-growing share of consumers is shopping online and demanding faster deliveries, a number of factors have contributed to keeping last-mile costs high:</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Labor shortages caused by the aging population and the COVID-19 pandemic have led to wage inflation.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On-demand delivery companies in many jurisdictions are battling regulatory pressures to classify gig workers as employees, which would in turn increase labor costs.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More recently, cities across the United States have introduced maximum limits on how much delivery platforms can charge restaurants and merchants, highlighting the need to lower underlying delivery 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cost inflation and regulatory pressures serve as tailwinds that are expected to accelerate the adoption of automated robotic last-mile delivery. While labor costs typically increase over time, hardware and technology costs typically decrease. We expect the cost of cameras, GPU processors, electric motors, batteries, and advanced sensors such as LIDAR to continue to decrease, as artificial intelligence algorithms become more capable and less expensive and mobile networks become faster and more reliable with higher bandwidth and geographic coverage, which together we believe will lead to a downward trend in the cost of building and operating robots and serve as additional tailwinds for the adoption of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Robots, Aerial Drones and Autonomous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evolving landscape of urban mobility will see a shift towards the unbundling of traditional vehicular transportation, potentially ushering in an era where specialized robots and automated vehicles will play a central role in mobility. After the introduction of automobiles in the early 20th century, according to reports, the United States experienced a transition from 25 million horses in the 1920s, to over 283 million cars in the 2020s — over 11 vehicles replacing one horse. Drawing on this trend, we believe the development of specialized, efficient robots in the future has the potential to lead to a similar proliferation of robots for every existing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consider the delivery of goods, which represents a major application for vehicles today. Deliveries vary by distance, cargo size, cargo sensitivity and timing requirements, among other factors. Today, most next-day parcels are delivered using trucks, while on-demand food delivery largely takes place in personal vehicles. Overall, a small percentage of short distance deliveries are performed on bicycles.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automation is introduced, we believe different automated technologies will be best suited for different deliveries.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over the coming years. We believe robots are best suited for short distance deliveries in populated environments, while drones are best suited for longer distances and less populated areas. When different automated vehicles emerge at scale, we expect to see a considerable share of deliveries completed using multiple technologies collaboratively.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while aerial drones may provide faster delivery experience across longer distances and less populated areas, they face many challenges when it comes to picking up orders from many restaurants located in densely populated areas: safety concerns to sidewalk pedestrians, noise pollution and lack of availability of dedicated real estate at every store front, among others. Instead, we expect delivery robots will be able to pick up items on busy streets and urban environments and deliver them to a drone at a nearby hand-off location. While in motion, a battery-powered delivery robot often generates less noise and carries considerably less kinetic energy than a flying drone. By blending with existing infrastructure without introducing significant noise or safety concerns, delivery robots may enable drones to access items in the most populated spaces that may otherwise be challenging for drones to access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when AVs become commercially viable, they will face challenges accessing merchants on congested streets where parking is limited. Restaurant waiting staff are often too busy to walk to the nearest available parking space to load an AV. We expect delivery robots will facilitate this process and help accelerate the adoption of AVs by allowing them to commercialize within existing urban infrastructures.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delivery robots, aerial drones and AVs are each efficacious for deliveries with different attributes, and all three can work collaboratively to create a more efficient automated last-mile delivery network. The applications of robotics in delivery are wide-ranging, from on-demand food and grocery to convenience goods, alcohol, pharmaceuticals, parcels and more. According to a 2023 Business Insider report, the market for delivery robots is predicted to grow to $1 trillion by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Robot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delivery robots start each day at a central hub located near their operating area. Employees at the hub prepare robots for dispatch every morning by ensuring robots are cleaned, regular maintenance items are performed and robots pass daily diagnostic tests. While most robots deploy to and return from their operating area automatically and without further vehicular assistance, some robots may be transported to and from operating areas that are further away in a human-driven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the field, we estimate that Serve robots are able to navigate over 80% of their environment autonomously. They are supervised through mobile connectivity and video streaming by remote human operators who can assist robots when necessary, such as at intersection crossings or when robots are unable to navigate certain conditions (e.g., blocked paths, construction zones, etc.). In less frequent occasions, if a robot requires physical assistance, such as when a robot is too low on battery to return home or if it has been damaged, a nearby employee is dispatched to repair or return the robot. As of January 2024, fewer than 1 out of every 500 of our robotic deliveries require physical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day, each robot receives a series of delivery orders from partnered merchants and delivery platforms. Upon acceptance of any such order, the robot navigates to the pick-up location, waits outside and notifies merchant staff, often through their existing delivery tablets or point-of-sale devices. Once the merchant staff load the package into the robot, it navigates to its drop-off destination. A similar sequence of events results in customers meeting the robot at the curb, unlocking its cargo using their delivery app or on-screen instructions, and retrieving their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night, robots return to their central hub to be recharged, maintained, upgraded when necessary, and prepared for the next morning’s deployment. Also, various robot components are occasionally replaced due to wear and tear (e.g., tires, motors and batteries). Other components such as computers and key sensors like LIDAR have multi-year lifespans and are rarely replaced. Overall, the useful life of a robot is measured in years, as calculated based on the average lifespan of individual components weighted by their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robots have inherent limitations on how much cargo they can carry and how quickly they can move given the constraints of the sidewalk environment. Current Serve robots carry up to 13 gallons of cargo and can move at a maximum speed of 7 mph. This imposes limits on addressable deliveries, travel time and rate of utilization of robots. For example, due to their speed, delivery robots are best suited for short-distance deliveries, though approximately half of food deliveries in the United States are under 2.5 miles and thus within the delivery range of sidewalk robots. Assuming a target customer delivery wait time of approximately 30 minutes, food delivery robots operating 12 hours per day could perform a maximum of 20 to 30 deliveries per day, depending on the rate of batched deliveries.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robots are equipped with a number of security features to prevent their cargo and their associated data and IP from unauthorized access. The robots’ secure cargo compartment can only be unlocked through the delivery app’s interface or using a security code entered on the robots’ touchscreen. Moreover, using encrypted communication protocols and data storage as well as secure authentication methods, the data and software onboard each robot is protected from unauthorized access. Finally, robots are equipped with redundant real-time location tracking systems as well as alarm and communication features to deter attempts at vandalism and enable quick recovery of assets in the unlikely event of theft.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Robotic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automation decreases the cost of last-mile delivery and leads to increased adoption, we anticipate opportunities for impact over the long term: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GHG Emissions: We believe robots and drones can reduce emissions caused by large vehicles used today for moving small packages. According to a study published in Transportation Research Part D: Transport and Environment in 2020, GHG emissions from operating delivery robots, including emissions from charging battery and transportation to/from delivery hubs, are over 96% lower than emissions from operating internal combustion engine vehicles.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Lower Delivery Costs: While all automated delivery vehicles still require a certain amount of human involvement (for example, in loading, unloading, maintenance and remote supervision), we believe labor is leveraged more efficiently resulting in more deliveries per unit of human effort. Just as automation has done in the past, it is expected that this will reduce delivery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On-Demand Adoption: On-demand services are largely luxuries afforded by affluent consumers today. We believe reducing delivery costs could make home delivery services affordable to more people.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Easier Reverse Logistics: We believe reducing the cost for last-mile transportation is likely to increase adoption of reverse logistics applications as well (e.g., more convenient package returns).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Local Commerce: We believe that the increased adoption of home delivery will result in more commerce for local businesses.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faster and cheaper local deliveries as well as easier and more cost-effective reverse logistics will likely result in new consumer behaviors and increased use of online commerce. For example, a customer ordering a pair of shoes from Amazon may wait several days only to receive an ill-fitting pair that must be returned while they wait more days for the next pair. In contrast, a customer ordering shoes from a local store could have three pairs of varying sizes delivered to their front door by a robot within an hour. They may try them on, pick the best fitting pair, and leave the other pairs in the robot to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More Local Jobs</w:t>
            </w:r>
            <w:r>
              <w:rPr/>
              <w:t>: We believe increased delivery and local commerce activities resulting from reduction in cost of delivery could lead to more local jobs, ranging from increased staffing of local businesses, logistics operators who enable automated delivery networks to function and human couriers who perform deliveries that automated services cannot perform.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Higher Delivery Quality</w:t>
            </w:r>
            <w:r>
              <w:rPr>
                <w:rFonts w:ascii="Times New Roman;Times;Serif" w:hAnsi="Times New Roman;Times;Serif"/>
                <w:sz w:val="20"/>
              </w:rPr>
              <w:t>: Like most automated systems, robots are less prone to error. For example, customers of food delivery platforms often experience missing items, mistaken orders and lost or missed deliveries altogether. Robots promise to reduce such errors, creating what has the potential to be a better experience for customers and merchants alike.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Safer Roads</w:t>
            </w:r>
            <w:r>
              <w:rPr>
                <w:rFonts w:ascii="Times New Roman;Times;Serif" w:hAnsi="Times New Roman;Times;Serif"/>
                <w:sz w:val="20"/>
              </w:rPr>
              <w:t>: According to a study by the National Highway Traffic Safety Administration (the “NHTSA”) from December 2023, there were 7,388 pedestrians and 966 cyclists killed in motor vehicle crashes in 2021 in the United States. This represents an average of over 20 pedestrian fatalities and 2.5 cyclist fatalities per day and a 13% increase in pedestrian deaths and a 3% increase in cyclist deaths from 2020. The deaths accounted for 19% of all traffic fatalities in the United States in 2021. In addition to the fatalities, the NHTSA estimated there were also 60,577 pedestrians and 41,615 cyclists injured in motor vehicle crashes in the United States in 2021. These injuries can be serious and life-changing, and they can also have a significant financial impact on the victims and their families. There are many factors that contribute to pedestrian and bicyclist fatalities and injuries, including: speeding, distracted driving, drunk driving and aggressive driving.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robots weigh significantly less and move at lower speeds than cars; as a result, on average, a single car carries over a thousand times more kinetic energy than a single robot. We anticipate that replacing cars with delivery robots could result in safer cities for pedestrians and cyclists.</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Friendlier Cities</w:t>
            </w:r>
            <w:r>
              <w:rPr>
                <w:rFonts w:ascii="Times New Roman;Times;Serif" w:hAnsi="Times New Roman;Times;Serif"/>
                <w:sz w:val="20"/>
              </w:rPr>
              <w:t>: Based on a University of Michigan report from 2010, it is estimated that as much as one half of city land area in the United States is dedicated to streets, parking lots, driveways and other car-related uses. With mass adoption of automated last-mile delivery vehicles, such as robots and drones, more spaces in cities can be reclaimed from vehicles and used to create social and green spaces.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robotic technology has been developed based on the following key principles: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Humans and Machines</w:t>
            </w:r>
            <w:r>
              <w:rPr/>
              <w:t>: We believe that the most effective way to quickly unleash the benefits of AI and autonomy in our lives is by designing solutions that leverage both human and machine intelligence in ways that collaborate and complement each other. Creating fully autonomous machines that are safe and reliable without any human intervention requires substantially more time and capital investment than creating machines that are mostly automated but can rely on occasional human support, especially when it comes to high consequence safety-critical decisions.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Labor-Optimized: </w:t>
            </w:r>
            <w:r>
              <w:rPr>
                <w:rFonts w:ascii="Times New Roman;Times;Serif" w:hAnsi="Times New Roman;Times;Serif"/>
                <w:sz w:val="20"/>
              </w:rPr>
              <w:t>We believe the cost of advanced sensors and hardware will continue to decrease over the coming years, and optimizing against such costs can be premature and an investment with diminishing long-term returns. Instead, we have continued to innovate by designing highly capable hardware and software solutions for robotic last-mile delivery that optimize against the largest cost of delivery: labor.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Robots Among People</w:t>
            </w:r>
            <w:r>
              <w:rPr/>
              <w:t>: We believe that building world-class hardware, software, AI and autonomy for robots to share spaces with people is how we are positioned to build market value and create a lasting legacy.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Robotic Platform</w:t>
            </w:r>
            <w:r>
              <w:rPr>
                <w:rFonts w:ascii="Times New Roman;Times;Serif" w:hAnsi="Times New Roman;Times;Serif"/>
                <w:sz w:val="20"/>
              </w:rPr>
              <w:t>: Our mission is to build a superior robotic platform that can accelerate the adoption of robotic solutions beyond last-mile delivery.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key highlights of our approach to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Artificial Intelligence</w:t>
      </w:r>
      <w:r>
        <w:rPr>
          <w:rFonts w:ascii="Times New Roman;Times;Serif" w:hAnsi="Times New Roman;Times;Serif"/>
          <w:b w:val="false"/>
          <w:i w:val="false"/>
          <w:caps w:val="false"/>
          <w:smallCaps w:val="false"/>
          <w:sz w:val="20"/>
        </w:rPr>
        <w:t xml:space="preserve"> — AI empowers Serve robots to navigate city sidewalks and interact with their environment safely and efficiently. We use the latest AI methodologies to design, train and deploy a host of models on Serve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AI models are used to perform a variety of tasks, including identification of sidewalk surfaces, intersections, traffic signals, obstacles, pedestrians and vehicles and projecting the trajectory of other dynamic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last six years of development, we have continued to create AI models with new capabilities while improving the performance of existing models. We expect to continue developing increasingly more capable AI models to improve robots’ performance and differentiate Serve from alternative products and solutions. As the broader field of Artificial Intelligence advances, we expect to benefit from such advances by increasing efficiency and effectiveness of our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Level 4 Autonomy</w:t>
      </w:r>
      <w:r>
        <w:rPr>
          <w:rFonts w:ascii="Times New Roman;Times;Serif" w:hAnsi="Times New Roman;Times;Serif"/>
          <w:b w:val="false"/>
          <w:i w:val="false"/>
          <w:caps w:val="false"/>
          <w:smallCaps w:val="false"/>
          <w:sz w:val="20"/>
        </w:rPr>
        <w:t xml:space="preserve"> — In January 2022, we announced the deployment of a new generation of delivery robots capable of operating at Level 4 autonomy.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600700" cy="3200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00700" cy="32004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4 autonomous robots can drive without humans in the loop for periods of time while they are operating in their intended operating environments (also known as “ODDs”). Specifically, Serve robots are capable of driving autonomously on certain sidewalks without a remote human supervisor having to oversee their movement. This capability makes it possible to operate our robots at lower cost than remotely operated robots used by our competitors, because it enables a single remote operator to simultaneously perform multiple deliveries.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estimate that Serve robots can autonomously navigate over 80% of their operating environment with the help of a number of different AI models that detect people, objects and terrains and predict future state of dynamic actors. Serve robots’ autonomous capabilities enable one remote supervisor to safely monitor up to four moving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Safety </w:t>
      </w:r>
      <w:r>
        <w:rPr>
          <w:rFonts w:ascii="Times New Roman;Times;Serif" w:hAnsi="Times New Roman;Times;Serif"/>
          <w:b w:val="false"/>
          <w:i w:val="false"/>
          <w:caps w:val="false"/>
          <w:smallCaps w:val="false"/>
          <w:sz w:val="20"/>
        </w:rPr>
        <w:t>— Achieving Level 4 autonomy required Serve robots to maintain safety even when operating without supervision. As such, we have designed robust onboard safety systems that rely heavily on Serve’s advanced sensors and AI capabilities. This significantly reduces the possibility of collisions even when the robots are being supervised.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fact, we believe robots that rely heavily on humans for safety are not sufficiently safe, because without automated onboard safety features, humans are prone to error. Also, data networks used for remote supervision frequently fail, slow down or get interrupted. Therefore, over-reliance on error-prone humans and failure-prone data networks makes human-in-the-loop safety inadequate.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current Serve robots are equipped with an extensive array of onboard technologies that ensure safe and reliable operation without over-reliance on humans. Serve robots utilize multiple layers of redundant systems for critical navigation functions, including multiple sensor modalities—active sensors such as LIDAR and ultrasonics, as well as passive sensors such as cameras—to navigate safely on busy city sidewalks. Our robots have a wide range of capabilities, such as: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Automatic emergency braking</w:t>
            </w:r>
            <w:r>
              <w:rPr/>
              <w:t>: If a remote supervisor mistakenly puts a robot at risk of collision, the robot will automatically override the remote supervisor and come to a stop.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Vehicle collision avoidance</w:t>
            </w:r>
            <w:r>
              <w:rPr/>
              <w:t>: While Serve robots and their remote supervisors are trained to ensure legal and safe crossing of intersections and driveways, drivers of vehicles can still cause vehicle-to-robot collisions. Similar driver errors cause thousands of fatalities and injuries to pedestrians and cyclists every year. As such, Serve robots are equipped with AI features that assess the risk of collision with nearby vehicles and minimize such risks by taking necessary actions such as stopping prior to a collision.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Fail-safe mechanical braking</w:t>
            </w:r>
            <w:r>
              <w:rPr>
                <w:rFonts w:ascii="Times New Roman;Times;Serif" w:hAnsi="Times New Roman;Times;Serif"/>
                <w:sz w:val="20"/>
              </w:rPr>
              <w:t>: We believe another unique and innovative capability of Serve robots is their fail-safe emergency braking. No matter how reliable and well tested, batteries, electronics and computer systems occasionally fail. During any such failures, Serve robots automatically come to a full stop through a mechanically designed fail-safe braking system. Some robots used by competitors solely rely on electronic braking, which can become ineffective during power or computer failures.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Robot Design — </w:t>
      </w:r>
      <w:r>
        <w:rPr>
          <w:rFonts w:ascii="Times New Roman;Times;Serif" w:hAnsi="Times New Roman;Times;Serif"/>
          <w:b w:val="false"/>
          <w:i w:val="false"/>
          <w:caps w:val="false"/>
          <w:smallCaps w:val="false"/>
          <w:sz w:val="20"/>
        </w:rPr>
        <w:t>As a division of Postmates during Serve’s inception, we had access to millions of historical delivery records. This enabled us to design robots from the ground up based on proprietary insights about last-mile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1552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1552575"/>
                    </a:xfrm>
                    <a:prstGeom prst="rect">
                      <a:avLst/>
                    </a:prstGeom>
                  </pic:spPr>
                </pic:pic>
              </a:graphicData>
            </a:graphic>
          </wp:inline>
        </w:drawing>
      </w:r>
      <w:r>
        <w:rPr>
          <w:caps w:val="false"/>
          <w:smallCaps w:val="false"/>
        </w:rPr>
        <w:drawing>
          <wp:inline distT="0" distB="0" distL="0" distR="0">
            <wp:extent cx="1371600" cy="1552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71600" cy="1552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Serve robots consist of a number of key systems: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Drivetrain</w:t>
            </w:r>
            <w:r>
              <w:rPr/>
              <w:t>: Serve’s innovative four-wheel drive system is custom-made for navigating city sidewalks. It includes Ackerman steering similar to road vehicles, emergency fail-safe braking and a bogie suspension mechanism. Our unique design is a result of years of iteration and field testing.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Rather than a fixed wheelbase, our robots use a bogie that connects the pair of wheels on each side of the robot together via a differential. Relative to the main chassis, each pair of wheels can rotate in opposite directions to maintain full traction on all four wheels regardless of road surface irregularities. As a result, Serve robots can reliably navigate challenging city sidewalks that include tree wells, fallen branches, tree roots and other unexpected obstacles.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bogie design was inspired by the suspension arrangement first developed by NASA in 1988 for the Mars rover Sojourner. Since then, NASA has used similar designs in Mars rovers </w:t>
      </w:r>
      <w:r>
        <w:rPr>
          <w:rFonts w:ascii="Times New Roman;Times;Serif" w:hAnsi="Times New Roman;Times;Serif"/>
          <w:b w:val="false"/>
          <w:i/>
          <w:caps w:val="false"/>
          <w:smallCaps w:val="false"/>
          <w:sz w:val="20"/>
        </w:rPr>
        <w:t>Spirit, Opportunity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Curiosity </w:t>
      </w:r>
      <w:r>
        <w:rPr>
          <w:rFonts w:ascii="Times New Roman;Times;Serif" w:hAnsi="Times New Roman;Times;Serif"/>
          <w:b w:val="false"/>
          <w:i w:val="false"/>
          <w:caps w:val="false"/>
          <w:smallCaps w:val="false"/>
          <w:sz w:val="20"/>
        </w:rPr>
        <w:t xml:space="preserve">and, most recently </w:t>
      </w:r>
      <w:r>
        <w:rPr>
          <w:rFonts w:ascii="Times New Roman;Times;Serif" w:hAnsi="Times New Roman;Times;Serif"/>
          <w:b w:val="false"/>
          <w:i/>
          <w:caps w:val="false"/>
          <w:smallCaps w:val="false"/>
          <w:sz w:val="20"/>
        </w:rPr>
        <w:t>Perseverance.</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Power System</w:t>
            </w:r>
            <w:r>
              <w:rPr/>
              <w:t>: Serve’s custom designed power distribution system and redundant batteries enable it to operate reliably from morning to night without requiring charging or battery swaps. Robots charge within a few hours upon returning to their home station at night.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Connectivity</w:t>
            </w:r>
            <w:r>
              <w:rPr/>
              <w:t>: Serve robots include redundant LTE modems and antennas that ensure they can consistently connect to cloud services used to dispatch and route their movements, as well as be monitored by remote supervisors.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Sensing &amp; Compute</w:t>
            </w:r>
            <w:r>
              <w:rPr/>
              <w:t>: Serve robots are equipped with an array of cameras, ultrasonic sensors, a pair of stereo cameras, an infrared-based depth sensor, GPS sensors, IMUs and a 360-degrees LIDAR sensor. Additionally, the robots use multiple CPU and GPU chips to process sensor information, run AI models, perform actions, interact with pedestrians and connect to the internet.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Secured Cargo</w:t>
            </w:r>
            <w:r>
              <w:rPr/>
              <w:t>: Serve’s cargo bin is designed for maximum capacity, ease of use, customizability, and operational efficiency. The bin fits two large shopping bags or four large pizzas. During operation the bin remains locked and is only accessible to designated restaurant staff and delivery customers, who can use their delivery app or the PIN pad on the robot’s touchscreen to unlock the cargo. Once the user completes loading or unloading, the cargo lid shuts down and locks automatically, without requiring additional human assistance. Lastly, the cargo space is designed to remain sufficiently clean and operational even if there is liquid spillage. Upon returning to the base, the interior of the bin can be removed for cleaning and sanitization.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Display and Lights</w:t>
            </w:r>
            <w:r>
              <w:rPr/>
              <w:t>: In order to create a user-friendly experience for merchants and customers that requires no training or onboarding, as well as to create a friendly and positive experience for pedestrians and other sidewalk users, Serve’s design includes a touchscreen display for indicating robot status and providing instructions. The design also includes a number of functional lights, including a light ring around the bin, brake lights, front headlights and a pair of circular eyes for expressing intentions and anthropomorphizing the robots.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Stage of Development — </w:t>
      </w:r>
      <w:r>
        <w:rPr>
          <w:rFonts w:ascii="Times New Roman;Times;Serif" w:hAnsi="Times New Roman;Times;Serif"/>
          <w:b w:val="false"/>
          <w:i w:val="false"/>
          <w:caps w:val="false"/>
          <w:smallCaps w:val="false"/>
          <w:sz w:val="20"/>
        </w:rPr>
        <w:t>Though still early in their development maturity cycle, Serve robots are the result of over six years of engineering and development. Every day, we continue to work on improving our robots’ capabilities, including making them faster, safer, smarter and more affordable.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list of Serve robots’ current specifications:</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905"/>
        <w:gridCol w:w="5285"/>
      </w:tblGrid>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Speed</w:t>
            </w:r>
          </w:p>
        </w:tc>
        <w:tc>
          <w:tcPr>
            <w:tcW w:w="52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 mph (max)</w:t>
            </w:r>
          </w:p>
        </w:tc>
      </w:tr>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Range</w:t>
            </w:r>
          </w:p>
        </w:tc>
        <w:tc>
          <w:tcPr>
            <w:tcW w:w="52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 miles, 10 hours</w:t>
            </w:r>
          </w:p>
        </w:tc>
      </w:tr>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Weather</w:t>
            </w:r>
          </w:p>
        </w:tc>
        <w:tc>
          <w:tcPr>
            <w:tcW w:w="52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Light rain, 32-104°F</w:t>
            </w:r>
          </w:p>
        </w:tc>
      </w:tr>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Autonomy</w:t>
            </w:r>
          </w:p>
        </w:tc>
        <w:tc>
          <w:tcPr>
            <w:tcW w:w="52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&gt;80% Autonomy Capability</w:t>
            </w:r>
          </w:p>
        </w:tc>
      </w:tr>
      <w:tr>
        <w:trPr/>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Cargo</w:t>
            </w:r>
          </w:p>
        </w:tc>
        <w:tc>
          <w:tcPr>
            <w:tcW w:w="52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 gallons (approx. two large shopping bags or four large pizzas)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robots are designed to operate in the common environmental conditions in each operating market. Currently we limit Serve’s operation to warm and dry climates, and do not operate robots under rare or extreme conditions such as strong storms or unusually high or low temperatures.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additional financing required for further development, we expect each new generation of robots to continually expand their operating envelope (e.g., introducing the ability to manage ice and snow), which we believe in turn could expand our market reach. Our roadmap includes a new generation of robots launching in 2024 (assuming availability of sufficient capital) that includes faster drivetrain, increased battery life, increased range of temperature and rain tolerance and more. The efforts towards the new robot generation began earlier this year and will require continued financing to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Development Process —</w:t>
      </w:r>
      <w:r>
        <w:rPr>
          <w:rFonts w:ascii="Times New Roman;Times;Serif" w:hAnsi="Times New Roman;Times;Serif"/>
          <w:b w:val="false"/>
          <w:i w:val="false"/>
          <w:caps w:val="false"/>
          <w:smallCaps w:val="false"/>
          <w:sz w:val="20"/>
        </w:rPr>
        <w:t xml:space="preserve"> Our development efforts began in 2017 with extensive market research. Using proprietary historical Postmates delivery data, we ran thousands of simulation scenarios to define desirable robot specifications, best deployment and operation models, as well as go-to-market strategies to achieve the most efficient, low-cost and scalable last-mile robotic delivery. The resulting specifications led to the development of prototype robots that were quickly deployed in San Francisco and Los Angeles to learn from real-life operations while serving customers and merchants.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every subsequent robot generation and incremental software improvement starts with prototyping, followed by iterative rounds of testing and developments. Prior to deployment, we perform extensive quality assurance testing using an expanding array of predefined validation tests, online simulations and in-house testing facilities. The validation tests include safety verifications to ensure any new software or hardware is capable of matching or exceeding pre-defined safety standards. When safety verifications fail, additional cycles of development and testing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robots pass pre-deployment testing, a small-scale deployment test is initiated with a representative set of robots. Upon collecting sufficient amounts of performance metrics, the final go/no-go decision is made on whether any new software or hardware will be deployed across the entire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and development process is also informed by regulatory requirements in certain geographies, such as a number of states and municipalities, that have implemented permitting frameworks for robotic delivery. The requirements include limits to robot weight, speed, operating conditions, availability of lights and identifying labels, etc. Lastly, there are also hardware design requirements around electromagnetic radiations and battery safety that are considered during the design and development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new generation of hardware that introduces changes to relevant components, we build an initial set of evaluation units and use them to obtain necessary certifications. Currently, the only applicable certification requirement for the operation of sidewalk robots in the United States is UN 38.3. We have identified additional certifications that may become required for the operation of sidewalk robots in the United States in the future and have accounted for these certifications in the design and test of our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Manufacturing —</w:t>
      </w:r>
      <w:r>
        <w:rPr>
          <w:rFonts w:ascii="Times New Roman;Times;Serif" w:hAnsi="Times New Roman;Times;Serif"/>
          <w:b w:val="false"/>
          <w:i w:val="false"/>
          <w:caps w:val="false"/>
          <w:smallCaps w:val="false"/>
          <w:sz w:val="20"/>
        </w:rPr>
        <w:t xml:space="preserve"> Our robots are designed by Serve’s high caliber team of mechanical, electrical, and system engineers to not only meet product requirements but also supply availability of components and manufacturing and assembly for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components are widely available in supply and/or fabricated from raw materials using common manufacturing processes including machining, molding, stamping and additive manufacturing from multiple sources. However, certain highly complex components are obtained from single or limited sources that we may have to compete for with other participants in the robotics, consumer electronics and automotive markets. Therefore, these components can be at times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and Ouster, Inc., in addition to vendors providing cameras, ultrasonic sensors, electronic motors and modems. To mitigate such supply risks, we routinely search for more available alternatives and/or enter into strategic partnerships and agreements to secure pricing and supply of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manufacturing and assembly of robots take place by a third-party contract manufacturer after component supply has been secured. We have proven, first-hand experience designing and assembling multiple generations of Serve robots and we believe our designs are highly manufacturable for contract manufacturers to outsource. Therefore, we are not dependent on any particular outsourcing partner and we are, instead, able to vet top tier contract manufacturers for their DFM (Design for Manufacturing) capabilities and leverage their existing scale to assemble robots in the most cost-effective and timely manner. This typically starts with SMT (Surface Mount Technology) pick and place machines to assemble PCBAs (Printed Circuit Board Assemblies) in batches followed by FATP (Final Assembly Test &amp; Pack) on all the remaining components by subassemblies into fully completed robots before being shipped out and deployed into 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recent batch of Serve robots was assembled by a tier 1 contract manufacturer in California within a few months and came in at our highest yield and throughput, all at a manufacturing cost that makes up a small fraction of our total robot cost. This speaks to our ability to design and execute with all our component suppliers and contract manufacturers and we expect to improve even further as we scale with higher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use contract manufacturing partners to build future robots. Our goal is to secure adequate funding and resources to begin scaling our fleet starting with a fleet of 2,000 robots deployed for Uber before the end of 2025. We currently do not expect to be able to build and deploy robots in 2024 based on our existing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 Lease Agreement with Farnam Street Financial, Inc. (“Farnam”) dated as of June 6, 2022 (the “Farnam Lease”), pursuant to which we lease the hardware of our robots. The Farnam Lease had an initial term of 24 months, which was modified in December 2023 to provide for a term of 15 months beginning on January 1, 2024. Pursuant to the Farnam Lease we have a purchase option allowing us to purchase the equipment subject to the Farnam Lease on the last day of the extended lease term (i) in whole for 45% of the original equipment cost, plus applicable taxes, subject to certain conditions or (ii) in part for 20% of the original equipment cost, plus applicable taxes, subject to a renewal of the Farnam Lease for an additional 12 months. The Farnam Lease also includes a right of first refusal requiring us to notify Farnam of any bona fide offer from a third party to lease robots to us (a “Third-Party Offer”) which we intend to accept. Prior to accepting such an offer, we must make an offer to Farnam on the same terms and conditions as the Third-Party Offer. This right of first refusal expires concurrently with the Farnam Lease.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Robots That Win Hearts and Minds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technologies often face initial resistance and skepticism before becoming widely accepted. We believe delivery robots are no exception. As such, we have invested significant time and effort in creating robots that would be welcomed by society. Our years of commercial operations to date suggest we are on track to accomplish our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make robots acceptable by the public, we set out our design efforts with a number of key objectives: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familiar: Our robot design is inspired by familiar sidewalk objects such as baby strollers and shopping carts. Unfamiliar form factors can elicit strong resistance, whereas familiar-looking robots with blinking eyes and personalized names seem to already belong.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fresh: First impressions are lasting impressions. Thanks to decades of negative and dystopian portrayal of robots in science fiction, introducing robots to the public requires a strong first impression that would encourage a readjustment in existing preconceptions. One way to achieve this is by creating a robot design that is pleasantly surprising and unexpected, so that it would bring into question whatever fearful or dystopian views one might hold prior to meeting a Serve robot in person.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 deferential: We believe robots are here to serve people, and therefore during everyday interactions on city sidewalks, robots must make every effort to stay respectful and compliant of people they share space with. For example, when their motion trajectory conflicts with a person, robots should always yield and prioritize people.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considerate: Sidewalks are a shared space where people from every walk of life, language and physical ability come together. Robots must be designed with all users of public spaces in mind. For example, while waiting to cross an intersection, our robots are trained to avoid blocking curb ramps needed by wheelchairs.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talented design team has applied the above principles as they studied human-robot interactions on sidewalks, and they have created a robot design that stands in a class of its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six years of research and development investment in AI, autonomy, safety and efficiency of our robots, we are in a leading position to partner with the world’s largest food delivery platforms, restaurants, retailers, and convenience brands to augment their last-mile human delivery capabilities. Our business strategy relies on providing partners with a complete end-to-end delivery solution and charging a fee per delivery—or per hour depending on the type of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robots can perform other value-add tasks while in operation and capture additional revenues. For example, in 2022 while roughly 50% of our revenue was generated by delivery fees on the Uber Eats platform, the other 50% was generated through branding. Brands have used OOH branding on transit vehicles since the age of streetcars in the 1800s. Similar to billboards and buses today, brands are placing ads on Serve robots’ exteriors.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additional revenue opportunities from delivery robots in the future. For example, the ability to license our technology to partners who wish to create their own robots for other applications, including our anticipated agreement with Magna. Additionally, robots can provide a new, more granular and timely data source to mapping providers. They can also enable cities to identify infrastructure problems. As robots become more common, we expect to identify new ways for robots to create value while operating.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revenues from robot branding and other services supplement delivery revenues, and as a result position delivery robots with better economics compared with existing delivery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delivery robots for delivery platforms or partnered merchants as either a part of a shared fleet or dedicated, exclusive fleet. For our robots to perform deliveries, they would need to have some level of integration with our partners’ platforms in order to receive an order, determine its suitability for robotic delivery, accept or reject that order and provide status updates and notifications to the merchants and recipients throughout the course of the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currently active commercial robotic delivery engagements are based on the shared fleet model, whereby a partner sends us their request for robotic delivery and only pays us for those requests we choose to accept and complete. In the current shared fleet model, we have legal custody of the robots and maintain and operate them at all times, receiving payment for performing deliveries and placement of advertising on our robots while incurring all costs and risks relating to the robots and their operation. We may explore other partnership paradigms in the future, such as providing an exclusive fleet to a partner who would maintain and house the robots and pay us a monthly fee for operations and rental of the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signed a commercial agreement with Uber. Pilot deliveries began in early 2022, which successfully led to the execution of an additional agreement in June 2022 to enable the commercial expansion of our service with up to 2,000 robots across multiple markets. Currently, this is our only large-scale commercial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launched its first-of-a-kind autonomy application programming interface in August 2022, with Serve as one of its first integrated partners. Since last year, we have completed thousands of deliveries for Uber Eats customers in Los Angeles and continue to expand our operations. Uber is also a strategic investor in Serve and has participated in multiple financing rounds, and as a result it owns a minority stake in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Uber and 7-Eleven, Serve has performed pilots for Walmart at its headquarters in Bentonville, Arkansas, for a major pizza quick service restaurant in Vancouver, Canada and for a major coffee shop chain in Los Angeles, California. All three pilots were successful in achieving their respective targeted performance criteria and the next phase of our engagement with those parties is subject to further negotiations.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also in discussions with Delivery Hero, also a strategic investor, to identify suitable markets outside North America to launch their first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Serve is in various stages of discussions with a number of other restaurant brands, restaurant integrator platforms, delivery platforms and logistics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fleet of over 100 robots as of December 31, 2023, we provide robotic delivery to more than 300 restaurants on the Uber Eats platform in a number of neighborhoods in Los Angeles. To date, we have completed over 50,000 deliveries to Uber Eats customers and our delivery volume has grown over 25% month-over-month since early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robots’ delivery reliability is one of its most notable strengths. Our proprietary historical delivery data suggest that on average, human couriers fail to complete five or more orders per every 1,000 deliveries (i.e., 99.5% reliability).  In contrast, Serve robots have achieved a delivery reliability as high as 99.94%, or 0.5 delivery failures per every 1,000 deliveries. Improved delivery quality enhances both customers’ and restaurants’ experiences and reduces the added cost of refunds caused by courier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rapidly growing our delivery volume and proving that our robots are more reliable than human couriers, we have successfully concluded the pilot phase of our partnership with Uber and signed an agreement to deploy up to 2,000 robots across the United States. Our goal is to deploy those robots in 2025, conditioned on securing required capital. We currently do not expect to be able to build and deploy robots in 2024 based on our existing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growing our delivery operations and establish Serve as the de facto global leader in automated last-mile delivery. Our growth will be facilitated by continued investment in our hardware, software and AI developments that increase the performance and efficiency of our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24 months, we plan to grow our operation fleet by 10 times and operate in at least two markets. To do this, we must first secure additional capital. Our existing partnerships enable us to access sufficient demand for our projected growth over that period and beyond. Assuming our expected utilization of robots by delivery platform partners, we believe that with a full deployment of 2,000 robots based on our existing contracts with Uber, we will be able to generate $60 million to $80 million in annual revenue and achieve contribution margins of over 50% while reaching positive cash flow by the end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plan to continue partnership discussions with a number of food and grocery brands, as well as other delivery and restaurant ordering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plans to expand operations beyond the United States and Canada, but we do engage in partnership discussions from time to time to evaluate the potential to expand into different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Investments and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revenue partnerships, we have developed strategic relations and collaborate with market leaders in robotics and delivery. Such collaborations have allowed us to improve our product, accelerate our growth, explore new market opportunities and access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NVIDIA Corporation</w:t>
      </w:r>
      <w:r>
        <w:rPr>
          <w:rFonts w:ascii="Times New Roman;Times;Serif" w:hAnsi="Times New Roman;Times;Serif"/>
          <w:b w:val="false"/>
          <w:i w:val="false"/>
          <w:caps w:val="false"/>
          <w:smallCaps w:val="false"/>
          <w:sz w:val="20"/>
        </w:rPr>
        <w:t xml:space="preserve"> — A leading provider of high-performance GPU computing chips, NVIDIA is an early technology collaborator of Serve. We have worked with NVIDIA’s robotics and engineering teams for over five years. Since 2022, NVIDIA has invested over $12 million in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Delivery Hero SE — </w:t>
      </w:r>
      <w:r>
        <w:rPr>
          <w:rFonts w:ascii="Times New Roman;Times;Serif" w:hAnsi="Times New Roman;Times;Serif"/>
          <w:b w:val="false"/>
          <w:i w:val="false"/>
          <w:caps w:val="false"/>
          <w:smallCaps w:val="false"/>
          <w:sz w:val="20"/>
        </w:rPr>
        <w:t>A German multinational online food ordering platform with significant presence in Europe and Asia, Delivery Hero is also an early investor of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Uber Technologies, Inc. — </w:t>
      </w:r>
      <w:r>
        <w:rPr>
          <w:rFonts w:ascii="Times New Roman;Times;Serif" w:hAnsi="Times New Roman;Times;Serif"/>
          <w:b w:val="false"/>
          <w:i w:val="false"/>
          <w:caps w:val="false"/>
          <w:smallCaps w:val="false"/>
          <w:sz w:val="20"/>
        </w:rPr>
        <w:t>As discussed earlier, Uber holds a minority stake in Serve by contributing Serve’s initial IP and assets developed by the Postmates X division, as well as by participating in multiple financing rounds. Uber is a key commercial partner and has enabled us to reach hundreds of restaurants and thousands of customers within weeks of launching on their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7-Eleven Inc. and 7-Ventures, LLC </w:t>
      </w:r>
      <w:r>
        <w:rPr>
          <w:rFonts w:ascii="Times New Roman;Times;Serif" w:hAnsi="Times New Roman;Times;Serif"/>
          <w:b w:val="false"/>
          <w:i w:val="false"/>
          <w:caps w:val="false"/>
          <w:smallCaps w:val="false"/>
          <w:sz w:val="20"/>
        </w:rPr>
        <w:t>— A global convenience retailer with over 13,000 locations in the US and Canada as of January 2023, 7-Eleven is another early strategic investor in Serve. Our partnership discussions began in 2020 when Serve was a part of Postmates. 7-Eleven is our first foray into the convenience market, as well as our first direct integration with a retail chain. 7-Ventures, LLC, is an investment firm which operates as the venture capital arm of 7-Eleven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firm invests primarily in companies with emerging retail technology, consumer-focused services and disruptive CPG products that complement 7-Eleven’s legacy of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existing partnerships, we are in discussions with other potential strategic partners that would enable us to grow faster and reach more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Economics of Robotic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cost of robotic delivery can be divided into two major components: labor costs related to fleet management personnel (remote supervision, field operations, and hardware operations) and costs related to the robots (licensed software, mobile data fees and robot lease payments). In our shared fleet model, both labor and robot costs are incurred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most important drivers of delivery cost efficiency are autonomy and robot utilization. Increased autonomy reduces the cost of labor by increasing the number of deliveries per remote supervisor and field operator. Similarly, increasing robot utilization (i.e., number of deliveries per robot per day) leads to lower per delivery cost as fixed costs would be divided over more deliveries, and labor would be more efficiently leveraged.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cost drivers include hardware amortization period, upfront capital costs, and hourly wages for field and remote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worth noting the importance of the amortization period in hardware design choices. Designing a more durable robot, as well as using reusable components, will help reduce the cost of delivery. For example, LIDAR sensors and GPU computers have a higher initial cost of capital, and as such some have decided against using them; however, they are long-lasting components that can be amortized over a number of years, and most importantly, they increase autonomy performance and reduce the more significant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increasing autonomy performance and robot utilization, achieving operational profitability requires scaling the fleet. Scaled operations allow labor to be more efficiently utilized, while building robots at a higher volume also reduces the unit cost of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direct competitors in the sidewalk robotic space including Kiwibot, Starship Technologies, Coco and Cartken. Kiwibot and Starship primarily focus on college campuses. College campus environments are smaller markets compared to our target market of urban environments. According to the Education Data Initiative, nearly 18 million students were enrolled in American colleges in 2022, compared to over 274 million people who live in urban environments according to University of Michigan’s Center for Sustainable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Serve, Coco focuses on urban delivery but does not have a direct marketplace integration with a major third-party delivery platform, which we believe significantly constrains their ability to scale. Integrating with an existing delivery marketplace such as Uber Eats allows Serve to reach customers and merchants in new markets quickly and cost-efficiently without the need to sign every merchant and acquire every customer. Direct marketplace integration also increases robot utilization, and as a result, can reduce cost per delivery by increasing the pool of deliveries available to robots and ensuring they are more likely to receive delivery assignments well suited for robots. Direct marketplace integration also benefits marketplaces by reducing their cost per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believe Coco lacks advanced autonomy, requiring a human remote operator to drive each robot at all times, diminishing cost-effectiveness, scalability and safety. Cartken is a newer entrant to the space with limited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Positioned for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world-class team, superior technology and market-leading partnerships position us well to be a leader in the robotic delivery race.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product development and go-to-market strategy has been informed by the proprietary historical delivery data we had the privilege to access as a division of Postmates. We developed sophisticated simulation tools to anticipate the dynamics of robotic delivery, and design our hardware, software and operations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access to proprietary data, we have created the following:</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Unique Robot: We have designed what we believe is a unique robot, purpose-built for last-mile urban delivery, with a uniquely suitable drivetrain, battery life, cargo design and more.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Best-in-Class Autonomy: Having understood the importance of autonomy for profitable unit economics from early simulations, we invested considerably in suitable sensors, computing stack and AI models to achieve Level 4 autonomous capability.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Fastest, Most Scalable Go-to-Market: We believe we have led competition in our go-to-market approach in urban environments, with the largest number of restaurant partners and highest density of partners per geographic region.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Highest Robot Utilization: We believe we have achieved higher robot utilization than other robotic delivery providers, as a result of our robot design, partnership strategy and integrations.</w:t>
            </w:r>
          </w:p>
        </w:tc>
      </w:tr>
    </w:tbl>
    <w:p>
      <w:pPr>
        <w:pStyle w:val="TextBody"/>
        <w:bidi w:val="0"/>
        <w:spacing w:before="0" w:after="0"/>
        <w:ind w:left="1080" w:right="0" w:hanging="36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170"/>
        <w:gridCol w:w="9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Efficient Unit Economics: We believe that autonomy and robot utilization results in cheaper delivery economics.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Safest: Our robots are equipped with sophisticated sensors, with what we believe is more redundancy in sensing than competition, and robust safety features such as mechanical fail-safe braking.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having best-in-class autonomy, strong strategic partnerships and significant deployment contracts, we have also assembled a high integrity, talented team, with a wealth of experience and a history of execution in creating innovative products and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is a mission-driven company based on a set of values that drive who we are and what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Empower People — </w:t>
      </w:r>
      <w:r>
        <w:rPr>
          <w:rFonts w:ascii="Times New Roman;Times;Serif" w:hAnsi="Times New Roman;Times;Serif"/>
          <w:b w:val="false"/>
          <w:i w:val="false"/>
          <w:caps w:val="false"/>
          <w:smallCaps w:val="false"/>
          <w:sz w:val="20"/>
        </w:rPr>
        <w:t>We serve our neighborhoods and support local businesses. We go beyond self-interest, taking our community into account. We empower each other with trust and autonomy to solve big problems to build a sustainable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Passionate, Authentic and Kind — </w:t>
      </w:r>
      <w:r>
        <w:rPr>
          <w:rFonts w:ascii="Times New Roman;Times;Serif" w:hAnsi="Times New Roman;Times;Serif"/>
          <w:b w:val="false"/>
          <w:i w:val="false"/>
          <w:caps w:val="false"/>
          <w:smallCaps w:val="false"/>
          <w:sz w:val="20"/>
        </w:rPr>
        <w:t>We are mission driven. We value each other. We celebrate milestones and moments, both at Serve and in our personal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Trustworthy — </w:t>
      </w:r>
      <w:r>
        <w:rPr>
          <w:rFonts w:ascii="Times New Roman;Times;Serif" w:hAnsi="Times New Roman;Times;Serif"/>
          <w:b w:val="false"/>
          <w:i w:val="false"/>
          <w:caps w:val="false"/>
          <w:smallCaps w:val="false"/>
          <w:sz w:val="20"/>
        </w:rPr>
        <w:t>We operate with integrity. We do what we say we will do. We are honest, transparent and respectful.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Safety Is Not Negotiable — </w:t>
      </w:r>
      <w:r>
        <w:rPr>
          <w:rFonts w:ascii="Times New Roman;Times;Serif" w:hAnsi="Times New Roman;Times;Serif"/>
          <w:b w:val="false"/>
          <w:i w:val="false"/>
          <w:caps w:val="false"/>
          <w:smallCaps w:val="false"/>
          <w:sz w:val="20"/>
        </w:rPr>
        <w:t>We set the standard for safety. Our goal is to eliminate risks to safety. Our commitment goes beyond the sidewalk—we protect our customers’ data, our employees and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Take Ownership, Give Credit — </w:t>
      </w:r>
      <w:r>
        <w:rPr>
          <w:rFonts w:ascii="Times New Roman;Times;Serif" w:hAnsi="Times New Roman;Times;Serif"/>
          <w:b w:val="false"/>
          <w:i w:val="false"/>
          <w:caps w:val="false"/>
          <w:smallCaps w:val="false"/>
          <w:sz w:val="20"/>
        </w:rPr>
        <w:t>It’s not mine, it’s not yours, it’s ours. We solve big audacious problems working together as a distributed, cross-functional team. We take pride in the quality of our work and no task is beneath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Put the Marshmallow on Top — </w:t>
      </w:r>
      <w:r>
        <w:rPr>
          <w:rFonts w:ascii="Times New Roman;Times;Serif" w:hAnsi="Times New Roman;Times;Serif"/>
          <w:b w:val="false"/>
          <w:i w:val="false"/>
          <w:caps w:val="false"/>
          <w:smallCaps w:val="false"/>
          <w:sz w:val="20"/>
        </w:rPr>
        <w:t>We are humbled by unknowns, not defeated. We see opportunity in ambiguity. We don’t need turn-by-turn directions, but plan our own routes and even scout for others. We embrace experimentation in the face of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Find Truth on the Sidewalk — </w:t>
      </w:r>
      <w:r>
        <w:rPr>
          <w:rFonts w:ascii="Times New Roman;Times;Serif" w:hAnsi="Times New Roman;Times;Serif"/>
          <w:b w:val="false"/>
          <w:i w:val="false"/>
          <w:caps w:val="false"/>
          <w:smallCaps w:val="false"/>
          <w:sz w:val="20"/>
        </w:rPr>
        <w:t>We experiment rapidly and discover eagerly in the real world. We move fast, gather data and learn by delivering.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Deliver Delight — </w:t>
      </w:r>
      <w:r>
        <w:rPr>
          <w:rFonts w:ascii="Times New Roman;Times;Serif" w:hAnsi="Times New Roman;Times;Serif"/>
          <w:b w:val="false"/>
          <w:i w:val="false"/>
          <w:caps w:val="false"/>
          <w:smallCaps w:val="false"/>
          <w:sz w:val="20"/>
        </w:rPr>
        <w:t>Both to our customers or to each other! We exceed customer expectations. We bring joy to our work and to our neighborhoods.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internal data, we estimate that over 95% of deliveries completed by Serve robots over the last year would otherwise be performed by personal vehicles. At scale, we estimate that delivery robots can displace oil demand by replacing personal vehicle deliveries and as a result, reduce global GHG emissions by nearly 762 megatons annually. This represents an approximately 2% reduction in the 37.15 billion metric tons of global emissions based on 2022 emissions data provided by the Global Carbon Project in December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International Energy Agency, 3.53 billion metric tons of CO2 were emitted by passenger vehicles globally in 2022, causing around 10% of global energy-related CO2 emissions. A study published in Transportation Research Part D: Transport and Environment (Volume 85, August 2020, 102443) suggests that delivery robots reduce energy usage per kilometer by over 97.5% compared to a traditional gas-engine passenger vehicle (as compared to 80% energy use reduction by passenger electric vehicles), and delivery robots produce 96% less emissions compared to gas-engine vehicles. Assuming the accuracy of a 2017 estimate by the U.S. Bureau of Transportation Statistics that 45% of car trips in the United States were taken for shopping and errands and our proprietary delivery data that indicates up to half of all shopping trips can be completed by delivery robots, an estimated 794 megatons of CO2 emissions from passenger vehicles globally may be attributed to shopping trips that we believe delivery robots may be suited to perform. As a result, we believe that with a 96% reduction in CO2 emissions compared to gas-engine vehicles, the scaled use of robotic delivery could reduce as much as 762 megatons of CO2 emissions by global passenger cars annually.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delivery robots are allowed to operate on sidewalks by default. As of December 31, 2023, over twenty states and a number of cities have put in place legal frameworks to explicitly permit the use of delivery robots. The instances of cities welcoming delivery robots far exceed the few examples in which their operations were banned. This positive regulatory momentum for delivery robots may be due to a number of factors:</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Robots Inherently Safer: </w:t>
            </w:r>
            <w:r>
              <w:rPr>
                <w:rFonts w:ascii="Times New Roman;Times;Serif" w:hAnsi="Times New Roman;Times;Serif"/>
                <w:sz w:val="20"/>
                <w:u w:val="single"/>
              </w:rPr>
              <w:t>Based on internal estimates,</w:t>
            </w:r>
            <w:r>
              <w:rPr>
                <w:rFonts w:ascii="Times New Roman;Times;Serif" w:hAnsi="Times New Roman;Times;Serif"/>
                <w:sz w:val="20"/>
              </w:rPr>
              <w:t xml:space="preserve"> cars carry over 1,000 times more kinetic energy than our robots. As a result of having much lower kinetic energy, our robots do not pose the same risk for injury or fatality that cars do. Meanwhile, cars have historically injured or killed thousands of pedestrians and cyclists each year. Removing unnecessary car trips can make cities safer for pedestrians and cyclists.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Robots Reduce Emissions: </w:t>
            </w:r>
            <w:r>
              <w:rPr/>
              <w:t>Many cities have established targets for reducing carbon emissions, and robots can help advance their environmental initiatives.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Robots Reduce Congestion: </w:t>
            </w:r>
            <w:r>
              <w:rPr/>
              <w:t>Deliveries often originate in high traffic regions where restaurants and shops tend to be located. As a result, removing delivery car traffic can reduce congestion and parking issues in cities.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Robots Reduce Delivery Cost for Local Merchants: </w:t>
            </w:r>
            <w:r>
              <w:rPr/>
              <w:t>Recently, a number of cities have implemented restrictions on how much delivery platforms can charge restaurants for their services. Robots can offer a cheaper alternative to help local restaurants and merchants reduce their delivery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operational in West Hollywood, CA and Los Angeles, CA and hold requisite permits with both cities. Other states and municipalities across the United States may have legal requirements for PDD deployment, but they are not applicable to our operations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Hollywood’s PDD permitting program is administered via a Call for Application and subsequent procurement process. Serve Robotics submitted an application and received an operating permit as of September 2022. The permit limits operation to twenty (20) or fewer robots and requires monthly submission of a report outlining incidents, geographic data, and areas for infrastructure improvement within the 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Municipal Code Section 71.30, the Los Angeles Department of Transportation is empowered to enact a PDD pilot program. These rules include size and weight requirements, speed limits, 3-1-1 integration, braille identifying markers on the devices, integration with the Mobility Data Specification for location reporting and regular communication of incidents that may take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currently has no statewide requirements governing the operation of PDDs. Under California Health and Safety Code Sections 113982 and 113930.5, restaurants that deliver meals by means of third-party delivery services are required to use tamper evident packaging. Additionally, the Los Angeles County Department of Public Health provides guidance on food delivery and pickup by third-party delivery service drivers. However, there are currently no requirements specifically addressing automated and robotic delivery vehicles such as PDDs.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operations, we will continue to engage with local municipalities and regulators, to collaboratively introduce our innovative technology to new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hardware certification requirements for sidewalk robots in the United States include the UN 38.3, which Serve robots are in compliance with. We have identified additional certifications that may become required for the operation of sidewalk robots in the United States in the future and have accounted for these certifications in the design and test of our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ability to compete are significantly dependent on our core technology and intellectual property. As of December 31, 2023, we have applied for 18 patents in various jurisdictions: China (1 patent), the United States (11 patents), Canada (6 patents), and through the Patent Cooperation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have been granted nine of the 18 patents for which we have applied—four in the United States, four in Canada and one in China. Our granted patents will expire between May 2029 and June 2039, assuming that all maintenance fees are paid, no portion of the patent has been terminally disclaimed and the patent has not been invalidated. In certain jurisdictions, and in certain circumstances, patent terms can be extended or shortened.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and proprietary rights, including our proprietary technology and software, by relying on a combination of federal, state and common law rights in the United States and other countries, as well as on contractual measures. However, these laws, agreements and procedures provide only limited protection. Legal protections afford only limited protection for our technology. Although we currently primarily operate within the United States, the laws of some foreign countries do not protect our proprietary rights to as great an extent as domestic laws, and many foreign countries do not enforce these laws as diligently as government agencies and private parties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our employees to continue to invent and develop new technologies so as to maintain our competitiveness in the marketplace. We generally enter into confidentiality and non-disclosure agreements with our employees, consultants, vendors and customers, and generally limit access to and distribution of our proprietary information. We also enter into invention assignment agreements with our employees and consultants, which give us the rights to their inventions during the term of the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best efforts, our means of protecting our proprietary rights may be inadequate. It is possible that our current patents, or patents we later acquire, may be successfully challenged or invalidated in whole or in part. It is also possible that we may not obtain issued patents for our pending patent applications or other inventions we seek to protect. In that regard, we sometimes permit certain intellectual property to lapse or go abandoned under appropriate circumstances and due to uncertainties inherent in prosecuting patent applications, sometimes patent applications are rejected and we subsequently abandon them. It is also possible that any patent issued to us may not provide us with any competitive advantages, or that the patents of others will harm or altogether preclude our ability to do business. Moreover, unauthorized parties and our competitors may either attempt to copy aspects of our products or obtain and use information that we regard as proprietary, or independently develop technology that is similar to ours thereby rendering our protected products less valuable, if the design is favorably received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have 59 employees in the United States and 10 employees in Canada through our wholly-owned Canadian subsidiary. By primary job function, about 70% of our employees have engineering or product roles, 25% are in operations and 6% have business development or other administrative roles. None of our employees are represented by a labor union or covered by a collective bargaining agreement. We consider our relationship with our employees to be good.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Pay and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compensation and benefits packages that we believe are competitive within our industry. We use a combination of cash and equity compensation and other benefits to attract, motivate and retain our employees, including stock option awards, retirement programs, flexible or paid time off based on department and health and wellness benefits. In addition, we benchmark our compensation and benefits packages periodically to remain competitive with our peers and attract and retain talent throughout our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Recruitment, Retention,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corporate culture, competitive compensation and benefits programs, and career growth and development opportunities promote longer employee tenure and reduce turnover. We have enjoyed high employee retention since becoming an independent company in 2021 and monitor employee turnover rates as our success depends upon retaining and investing in our highly skilled technical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Diversity, Equity, and Inclusion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the uniqueness that an inclusive and diverse team brings to our company. Therefore, we are focused on creating an environment that leverages the perspectives and contributions of each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Safety, Health, and Wellness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prioritize safe working conditions. We are committed to an injury-free workplace and provide comprehensive workplace training and support to reduce or eliminate health and safety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headquarters are located in Redwood City, California, where we lease 4,200 square feet of office and industrial space pursuant to a lease that expires in 2025. We have an option to extend that lease by a four-year term. Our headquarters contain research and development, operations and selling, general and administrative functions as well as test tracks for our robots. We also lease two other offices in Los Angeles, our current delivery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facilities are adequate and suitable for our current needs and that, should it be needed, suitable additional or alternative space will be available to accommodate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that arise in the ordinary course of business. However, litigation is subject to inherent uncertainties, and an adverse result in these or other matters may arise from time to time that may harm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aware of any pending legal proceedings to which we are a party or of which any of our property is the subject, nor are we aware of any such proceedings that are contemplated by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public company, and our Annual Reports on Form 10-K, Quarterly Reports on Form 10-Q, Current Reports on Form 8-K and any amendments to such reports are filed with the SEC. We are subject to the informational requirements of the Exchange Act and file or furnish reports, proxy statements, and other information with the SEC. Such reports and other information filed by us with the SEC will be available free of charge on our website at </w:t>
      </w:r>
      <w:r>
        <w:rPr>
          <w:rFonts w:ascii="Times New Roman;Times;Serif" w:hAnsi="Times New Roman;Times;Serif"/>
          <w:b w:val="false"/>
          <w:i/>
          <w:caps w:val="false"/>
          <w:smallCaps w:val="false"/>
          <w:sz w:val="20"/>
        </w:rPr>
        <w:t>http://www.serverobotics.com</w:t>
      </w:r>
      <w:r>
        <w:rPr>
          <w:rFonts w:ascii="Times New Roman;Times;Serif" w:hAnsi="Times New Roman;Times;Serif"/>
          <w:b w:val="false"/>
          <w:i w:val="false"/>
          <w:caps w:val="false"/>
          <w:smallCaps w:val="false"/>
          <w:sz w:val="20"/>
        </w:rPr>
        <w:t xml:space="preserve"> when such reports are available on the SEC’s website. The SEC maintains a website that contains reports, proxy and information statements and other information that issuers file electronically with the SEC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We can be contacted at investor.relations@serverobotics.com.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 websites referred to above are not incorporated into this filing. Further, our references to the URLs for these websites are intended to be inactive textual references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1" w:name="a_010"/>
      <w:bookmarkEnd w:id="11"/>
      <w:r>
        <w:rPr>
          <w:rFonts w:ascii="Times New Roman;Times;Serif" w:hAnsi="Times New Roman;Times;Serif"/>
          <w:b/>
          <w:i w:val="false"/>
          <w:smallCaps/>
          <w:sz w:val="20"/>
        </w:rPr>
        <w:t>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directors as of April 5, 2024:</w:t>
      </w:r>
    </w:p>
    <w:p>
      <w:pPr>
        <w:pStyle w:val="TextBody"/>
        <w:bidi w:val="0"/>
        <w:spacing w:before="0" w:after="0"/>
        <w:ind w:left="0" w:right="0" w:hanging="0"/>
        <w:jc w:val="both"/>
        <w:rPr>
          <w:caps w:val="false"/>
          <w:smallCaps w:val="false"/>
        </w:rPr>
      </w:pPr>
      <w:r>
        <w:rPr>
          <w:caps w:val="false"/>
          <w:smallCaps w:val="false"/>
        </w:rPr>
        <w:t> </w:t>
      </w:r>
    </w:p>
    <w:tbl>
      <w:tblPr>
        <w:tblW w:w="7815" w:type="dxa"/>
        <w:jc w:val="left"/>
        <w:tblInd w:w="0" w:type="dxa"/>
        <w:tblLayout w:type="fixed"/>
        <w:tblCellMar>
          <w:top w:w="0" w:type="dxa"/>
          <w:left w:w="0" w:type="dxa"/>
          <w:bottom w:w="28" w:type="dxa"/>
          <w:right w:w="0" w:type="dxa"/>
        </w:tblCellMar>
      </w:tblPr>
      <w:tblGrid>
        <w:gridCol w:w="2165"/>
        <w:gridCol w:w="60"/>
        <w:gridCol w:w="350"/>
        <w:gridCol w:w="60"/>
        <w:gridCol w:w="5180"/>
      </w:tblGrid>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518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Positions</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Executive Officers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the Board of Directors</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Touraj Parang</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Operating Officer and Director</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Pannell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Euan Abraham</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of Hardware Engineering</w:t>
            </w:r>
          </w:p>
        </w:tc>
      </w:tr>
      <w:tr>
        <w:trPr/>
        <w:tc>
          <w:tcPr>
            <w:tcW w:w="21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Non-Employee Directors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Buckly Jordan</w:t>
            </w:r>
            <w:r>
              <w:rPr>
                <w:rFonts w:ascii="Times New Roman;Times;Serif" w:hAnsi="Times New Roman;Times;Serif"/>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Sarfraz Maredia</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Pourdad</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Olivier Vincent</w:t>
            </w:r>
            <w:r>
              <w:rPr>
                <w:rFonts w:ascii="Times New Roman;Times;Serif" w:hAnsi="Times New Roman;Times;Serif"/>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535"/>
        <w:gridCol w:w="9601"/>
      </w:tblGrid>
      <w:tr>
        <w:trPr/>
        <w:tc>
          <w:tcPr>
            <w:tcW w:w="6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(1)</w:t>
            </w:r>
          </w:p>
        </w:tc>
        <w:tc>
          <w:tcPr>
            <w:tcW w:w="9601" w:type="dxa"/>
            <w:tcBorders/>
            <w:vAlign w:val="center"/>
          </w:tcPr>
          <w:p>
            <w:pPr>
              <w:pStyle w:val="TableContents"/>
              <w:bidi w:val="0"/>
              <w:spacing w:before="0" w:after="283"/>
              <w:jc w:val="both"/>
              <w:rPr/>
            </w:pPr>
            <w:r>
              <w:rPr/>
              <w:t>Member of the nominating and governance committee.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76"/>
        <w:gridCol w:w="9215"/>
      </w:tblGrid>
      <w:tr>
        <w:trPr/>
        <w:tc>
          <w:tcPr>
            <w:tcW w:w="11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pPr>
            <w:r>
              <w:rPr/>
              <w:t>(2)</w:t>
            </w:r>
          </w:p>
        </w:tc>
        <w:tc>
          <w:tcPr>
            <w:tcW w:w="9215" w:type="dxa"/>
            <w:tcBorders/>
            <w:vAlign w:val="center"/>
          </w:tcPr>
          <w:p>
            <w:pPr>
              <w:pStyle w:val="TableContents"/>
              <w:bidi w:val="0"/>
              <w:spacing w:before="0" w:after="283"/>
              <w:jc w:val="both"/>
              <w:rPr/>
            </w:pPr>
            <w:r>
              <w:rPr/>
              <w:t>Member of the audit committee.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702"/>
        <w:gridCol w:w="9412"/>
      </w:tblGrid>
      <w:tr>
        <w:trPr/>
        <w:tc>
          <w:tcPr>
            <w:tcW w:w="9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pPr>
            <w:r>
              <w:rPr/>
              <w:t>(3)</w:t>
            </w:r>
          </w:p>
        </w:tc>
        <w:tc>
          <w:tcPr>
            <w:tcW w:w="9412" w:type="dxa"/>
            <w:tcBorders/>
            <w:vAlign w:val="center"/>
          </w:tcPr>
          <w:p>
            <w:pPr>
              <w:pStyle w:val="TableContents"/>
              <w:bidi w:val="0"/>
              <w:spacing w:before="0" w:after="283"/>
              <w:jc w:val="both"/>
              <w:rPr/>
            </w:pPr>
            <w:r>
              <w:rPr/>
              <w:t>Member of the compensation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Brian Read, age 34, will become our Chief Financial Officer effective on or around April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Ali Kashani </w:t>
      </w:r>
      <w:r>
        <w:rPr>
          <w:rFonts w:ascii="Times New Roman;Times;Serif" w:hAnsi="Times New Roman;Times;Serif"/>
          <w:b w:val="false"/>
          <w:i w:val="false"/>
          <w:caps w:val="false"/>
          <w:smallCaps w:val="false"/>
          <w:sz w:val="20"/>
        </w:rPr>
        <w:t>co-founded Serve Robotics Inc. in January 2021 and has served as its Chief Executive Officer and a member of the board of directors of Serve since then. Prior to co-founding Serve, he served as Vice President of Postmates Inc., an on-demand food delivery platform, from July 2017 to January 2021. Prior to Postmates, Dr. Kashani was the co-founder and Chief Technology Officer at Neurio Technology, Inc., a smart home technology company acquired by Generac Power Systems, Inc. (NYSE: GNRC) in 2019. Dr. Kashani is an inventor with 15 granted or pending patents. Dr. Kashani received both his Bachelor of Science in Computer Engineering and his Doctorate in Robotics from the University of British Columbia and was awarded Natural Sciences and Engineering Research Council of Canada’s Alexander Graham Bell Canada Graduate Scholarship. Dr. Kashani has served on our board of directors since the Company’s formation, and we believe he is qualified to remain on our board of directors due to the institutional knowledge he brings as Co-Founder and Chief Executive Officer of the Company and his business and robotics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Touraj Parang</w:t>
      </w:r>
      <w:r>
        <w:rPr>
          <w:rFonts w:ascii="Times New Roman;Times;Serif" w:hAnsi="Times New Roman;Times;Serif"/>
          <w:b w:val="false"/>
          <w:i w:val="false"/>
          <w:caps w:val="false"/>
          <w:smallCaps w:val="false"/>
          <w:sz w:val="20"/>
        </w:rPr>
        <w:t xml:space="preserve"> has served as Serve’s Chief Operating Officer and as a member of the board of directors since March 2021, and was appointed President of Serve in July 2022. Prior to joining Serve, Mr. Parang worked at GoDaddy Inc. (NYSE: GDDY) from May 2014 to March 2021, where he began as Senior Director of Corporate Development and most recently served as Vice President of Corporate Development. Prior to that, Mr. Parang was the founding Chief Operating Officer of UpCounsel Technologies, Inc. (acquired by Enduring Ventures, Inc. in 2020), Vice President of Strategy and Corporate Development at Webs, Inc. (acquired by Vistaprint N.V. in 2011), and co-founder and Chief Operating Office of Jaxtr, Inc. (acquired by Sabse Technologies Inc. in 2009). Mr. Parang received his Bachelor of Arts in Philosophy and Economics from Stanford University and his Juris Doctorate from Yale Law School. We believe that Mr. Parang is qualified to serve on the Serve’s Board due to his extensive experience with early-stage startups and prior leadership role at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Euan Abraham</w:t>
      </w:r>
      <w:r>
        <w:rPr>
          <w:rFonts w:ascii="Times New Roman;Times;Serif" w:hAnsi="Times New Roman;Times;Serif"/>
          <w:b w:val="false"/>
          <w:i w:val="false"/>
          <w:caps w:val="false"/>
          <w:smallCaps w:val="false"/>
          <w:sz w:val="20"/>
        </w:rPr>
        <w:t xml:space="preserve"> has served as Serve’s Senior Vice President of Hardware Engineering since January 2022. Prior to joining Serve, Mr. Abraham served as Senior Vice President, Hardware Engineering at Latch, Inc. (Nasdaq: LTCH) from October 2018 to September 2021. Prior to that, he served as Vice President, Hardware Engineering at GoPro, Inc. (Nasdaq: GPRO) from October 2015 to October 2018. Mr. Abraham received his Bachelor of Engineering at the University of Sheffield.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April Pannell</w:t>
      </w:r>
      <w:r>
        <w:rPr>
          <w:rFonts w:ascii="Times New Roman;Times;Serif" w:hAnsi="Times New Roman;Times;Serif"/>
          <w:b w:val="false"/>
          <w:i w:val="false"/>
          <w:caps w:val="false"/>
          <w:smallCaps w:val="false"/>
          <w:sz w:val="20"/>
        </w:rPr>
        <w:t xml:space="preserve"> has served as Serve’s Chief Financial Officer since May 2023. Ms. Pannell has also served as Chief Executive Officer of AKW Financial since January 2019. She served as Chief Financial Officer and Global Controller of Fluitec, a company that provides green treatment solutions for hydraulic fluids, from August 2011 to December 2018. Ms. Pannell holds a Bachelor’s degree in Accounting from American International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Brian Read</w:t>
      </w:r>
      <w:r>
        <w:rPr>
          <w:rFonts w:ascii="Times New Roman;Times;Serif" w:hAnsi="Times New Roman;Times;Serif"/>
          <w:b w:val="false"/>
          <w:i w:val="false"/>
          <w:caps w:val="false"/>
          <w:smallCaps w:val="false"/>
          <w:sz w:val="20"/>
        </w:rPr>
        <w:t xml:space="preserve"> is expected to become Serve’s Chief Executive Officer effective on or around April 29, 2024. Prior to Serve, Mr. Read served as a Controller for Apptronik Inc. from April 2023 to April 2024, as a Global Controller at REE Automotive Ltd. (Nasdaq: REE) from February 2021 to March 2023 and as an Assistant Global Controller at Coherent Corp. (NYSE: COHR) from January 2019 to January 2021. Mr. Read was also an associate and senior associate at PricewaterhouseCoopers LLP from July 2011 to January 2017. Mr. Read holds a Bachelor of Science in Business Administration (Accounting) from Duquesne University and is a Certified Public Accountant (Pennsylvania).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Buckly Jordan</w:t>
      </w:r>
      <w:r>
        <w:rPr>
          <w:rFonts w:ascii="Times New Roman;Times;Serif" w:hAnsi="Times New Roman;Times;Serif"/>
          <w:b w:val="false"/>
          <w:i w:val="false"/>
          <w:caps w:val="false"/>
          <w:smallCaps w:val="false"/>
          <w:sz w:val="20"/>
        </w:rPr>
        <w:t xml:space="preserve"> has served as a member of Serve’s Board since October 2021. Mr. Jordan founded Vebu Labs, a food robotics and automation solutions company, in October 2018 and has served as its Chief Executive Officer since then. He is also the co-founder of Miso Robotics, a food robotics company, which he co-founded in 2016 and for which he currently serves as the acting President and Chairman of the board of directors. Mr. Jordan also founded Canyon Creek Capital, a venture capital fund, in July 2018 and has served as its Managing Partner since then. He received his Bachelor of Arts in Political Science from Indiana University and his Master of Business Administration from the University of California, Los Angeles Anderson School of Management. We believe Mr. Jordan is qualified to serve on our board of directors due to his early-stage investment experience in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Sarfraz Maredia</w:t>
      </w:r>
      <w:r>
        <w:rPr>
          <w:rFonts w:ascii="Times New Roman;Times;Serif" w:hAnsi="Times New Roman;Times;Serif"/>
          <w:b w:val="false"/>
          <w:i w:val="false"/>
          <w:caps w:val="false"/>
          <w:smallCaps w:val="false"/>
          <w:sz w:val="20"/>
        </w:rPr>
        <w:t xml:space="preserve"> has served as a member of our Board since July 2023. Since September 2014, Mr. Maredia has been employed at Uber, most recently as Vice President for Delivery and Head of Americas, where he leads Uber Eats’ marketplace business across the United States, Canada, and Latin America as well as overseeing Postmates. Prior to his service at Uber, Mr. Maredia joined IQVIA (formerly IMS Health), a global information and technology services company focused on healthcare, in September 2011, where he was promoted to and served as Vice President of Corporate Development until September 2014. He previously advised technology clients as a management consultant at Bain &amp; Company and worked as a private equity and public markets investor at TPG and Dodge &amp; Cox, respectively. Mr. Maredia received his Bachelor’s degree in Finance from the University of Texas at Austin. We believe that Mr. Maredia’s unique position leading one of the world’s largest on-demand delivery platforms, and his experience in leadership, operations, finance, and technology qualify him to serve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Ali Pourdad</w:t>
      </w:r>
      <w:r>
        <w:rPr>
          <w:rFonts w:ascii="Times New Roman;Times;Serif" w:hAnsi="Times New Roman;Times;Serif"/>
          <w:b w:val="false"/>
          <w:i w:val="false"/>
          <w:caps w:val="false"/>
          <w:smallCaps w:val="false"/>
          <w:sz w:val="20"/>
        </w:rPr>
        <w:t xml:space="preserve"> has served as a member of our Board since July 2023. Since March 2021, Mr. Pourdad has served as Chief Executive Officer of Quantfury Trading Limited, a global financial technology broker-dealer headquartered in the Bahamas (“Quantfury”). Prior to being named Chief Executive Officer, Mr. Pourdad was an advisor to Quantfury from September 2019 to March 2021. From January 2013 to September 2019, Mr. Pourdad served as Chief Executive Officer of Progressa, a consumer financial technology company. Mr. Pourdad is a Canadian Chartered Professional Accountant and holds a Bachelor’s degree in Finance from Simon Fraser University. We believe that Mr. Pourdad is qualified to serve on our board of directors due to his prior board experience and significant public company audit experience, including for NYSE and TSX listed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Olivier Vincent</w:t>
      </w:r>
      <w:r>
        <w:rPr>
          <w:rFonts w:ascii="Times New Roman;Times;Serif" w:hAnsi="Times New Roman;Times;Serif"/>
          <w:b w:val="false"/>
          <w:i w:val="false"/>
          <w:caps w:val="false"/>
          <w:smallCaps w:val="false"/>
          <w:sz w:val="20"/>
        </w:rPr>
        <w:t xml:space="preserve"> has served as a member of our Board since July 2023. Mr. Vincent co-founded and has served as Chief Executive Officer of Autozen Technology Ltd., a marketplace start-up in the automobile world since March 2020. Prior to joining Autozen, Mr. Vincent served as Chief Executive Officer of Spliqs, an AI technology company from January 2019 until March 2020. From December 2016 until January 2019, Mr. Vincent served as President of WeatherBug, a weather application. Mr. Vincent has served on the board of directors of Wishpond Technologies Ltd., a Canadian public company traded on the TSX (OTCMKTS: WPNDF), since December 2020. Mr. Vincent holds a Masters of Engineering in Computer Science from Ecole Nationale Superieure de Techniques Avancées (ENSTA) Paris and a Masters of Business, Entrepreneurship from Hautes Etudes Commerciales (HEC) Paris. We believe that Mr. Vincent is qualified to serve on our board of directors due to his experience growing and managing technology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our board of directors provided, however, that the board of directors may empower the Chief Executive Officer of the Company to appoint any officer other than the Chief Executive Officer, the President, the Chief Financial Officer or the Treasurer.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currently consists of six members: James Buckly Jordan, Ali Kashani, Sarfraz Maredia, Touraj Parang, Ali Pourdad and Olivier Vincent.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will continue to serve until the election and qualification of his or her successor, or his or her earlier death, resignation, disqualification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six members, divided into three classes of directors, designated Class I, Class II and Class III, with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current directors are divided among the three classes as follows: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I directors are Sarfraz Maredia and Ali Pourdad, and their terms will expire at the first annual meeting of stockholders;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II directors are James Buckly Jordan and Olivier Vincent, and their terms will expire at the second annual meeting of stockholders;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Class III directors are Ali Kashani and Touraj Parang, and their terms will expire at the third annual meeting of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director’s term continues until the election and qualification of his or her successor, or his or her earlier death, resignation, disqualification or removal. Our amended and restated certificate of incorporation and amended and amended and restated bylaws authorize, subject to the special rights of the holders of any series of preferred stock to elect directors, only our board of directors to fill vacancies on the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independence by the standards for director independence set forth in Nasdaq’s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Under such rules, our board of directors has determined that all members of the board of directors except Ali Kashani and Touraj Parang are independent directors.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Nasdaq, independent directors must comprise a majority of a listed company’s board of directors within a specified period of listing. In addition, rules require that, subject to specified exceptions, each member of a listed company’s audit, compensation, and nominating, governance and corporate responsibility committees be independent. Under such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Messrs. Jordan, Maredia, Pourdad and Vincent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w:t>
      </w:r>
      <w:r>
        <w:rPr>
          <w:rFonts w:ascii="Times New Roman;Times;Serif" w:hAnsi="Times New Roman;Times;Serif"/>
          <w:b w:val="false"/>
          <w:i/>
          <w:caps w:val="false"/>
          <w:smallCaps w:val="false"/>
          <w:sz w:val="20"/>
        </w:rPr>
        <w:t>Certain Relationships and Related Party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by between or among the members of our board of directors or other executive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an audit committee, a compensation committee and a nominating and governance committee, each of which, pursuant to its respective charter, have the composition and responsibilities described below. Members serve on these committees until their resignation or until otherwise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composed of Messrs. Jordan, Pourdad and Vincent. Mr. Pourdad is the chair of our audit committee. Each member of our audit committee is financially literate. Our board of directors has determined that each member of our audit committee is independent within the meaning of the Nasdaq director independence standards and applicable rules of the SEC for audit committee members. Our board of directors has also determined that Mr. Pourdad qualifies as an “audit committee financial expert” under the rules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audit committee is to discharge the responsibilities of the board of directors with respect to our corporate accounting and financial reporting processes, systems of internal control and financial statement audits and to oversee our independent registered public accounting firm. The principal functions of our audit committee include, among other things: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helping the board of directors oversee our corporate accounting and financial reporting processes;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managing the selection, engagement, qualifications, independence and performance of a qualified firm to serve as the independent registered public accounting firm to audit our financial statements;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discussing the scope and results of the audit with the independent registered public accounting firm, and reviewing, with management and the independent accountants, our interim and year-end operating results;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establishing procedures for employees to submit concerns anonymously about questionable accounting or audit matters;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overseeing our policies on risk assessment and risk management;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overseeing compliance with our code of business conduct and ethics;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2"/>
        <w:gridCol w:w="9701"/>
      </w:tblGrid>
      <w:tr>
        <w:trPr/>
        <w:tc>
          <w:tcPr>
            <w:tcW w:w="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1" w:type="dxa"/>
            <w:tcBorders/>
            <w:vAlign w:val="center"/>
          </w:tcPr>
          <w:p>
            <w:pPr>
              <w:pStyle w:val="TableContents"/>
              <w:bidi w:val="0"/>
              <w:spacing w:before="0" w:after="283"/>
              <w:jc w:val="both"/>
              <w:rPr/>
            </w:pPr>
            <w:r>
              <w:rPr/>
              <w:t>reviewing related person transactions;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approving or, as required, pre-approving audit and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composed of Messrs. Jordan and Vincent. Mr. Vincent is the chair of our compensation committee. The primary purpose of our compensation committee is to discharge the responsibilities of the board of directors in overseeing our compensation policies, plans and programs and to review and determine the compensation to be paid to our executive officers, directors and other senior management, as appropriate. The principal functions of our compensation committee include, among other things: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approving and determining, or making recommendations to the board of directors regarding, the compensation of our chief executive officer, other executive officers and senior management;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evaluating and recommending to the board of directors succession plans for our executive officers;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recommending to the board of directors the compensation paid to our non-employee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administering our equity incentive plans and other benefit programs;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establishing general policies relating to compensation and benefits of our employees, including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our compensation committee is a non-employee director as defined in Rule 16b-3 of the Exchange Act. Our board of directors has also determined that each member of our compensation committee is also an independent director within the meanings of Nasdaq’s director independence standards and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is composed of Ali Pourdad who also serves as the chair of our nominating and governance committee. Our nominating and governance committee’s principal functions include, among other things: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identifying and evaluating candidates, including the nomination of incumbent directors for reelection and nominees recommended by stockholders, to serve on the board of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considering and making recommendations to the board of directors regarding the composition and chairmanship of the committees of the board of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instituting plans or programs for the continuing education of the board of directors and the orientation of new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and making recommendations to the board of directors regarding corporate governance guidelines and matters;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71"/>
        <w:gridCol w:w="9752"/>
      </w:tblGrid>
      <w:tr>
        <w:trPr/>
        <w:tc>
          <w:tcPr>
            <w:tcW w:w="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both"/>
              <w:rPr/>
            </w:pPr>
            <w:r>
              <w:rPr/>
              <w:t>overseeing our corporate governance practices;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overseeing periodic evaluations of the board of directors’ performance, including committees of the board of directors;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contributing to succession planning.</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written code of business conduct and ethics that applies to our directors, officers and employees, including our principal executive officer, principal financial officer, and persons performing similar functions. Upon the closing of this offering, our code of business conduct and ethics will be available under the Corporate Governance section of our website at </w:t>
      </w:r>
      <w:r>
        <w:rPr>
          <w:rFonts w:ascii="Times New Roman;Times;Serif" w:hAnsi="Times New Roman;Times;Serif"/>
          <w:b w:val="false"/>
          <w:i/>
          <w:caps w:val="false"/>
          <w:smallCaps w:val="false"/>
          <w:sz w:val="20"/>
        </w:rPr>
        <w:t>https://www.serverobotics.com</w:t>
      </w:r>
      <w:r>
        <w:rPr>
          <w:rFonts w:ascii="Times New Roman;Times;Serif" w:hAnsi="Times New Roman;Times;Serif"/>
          <w:b w:val="false"/>
          <w:i w:val="false"/>
          <w:caps w:val="false"/>
          <w:smallCaps w:val="false"/>
          <w:sz w:val="20"/>
        </w:rPr>
        <w:t>.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is currently, or has been at any time, one of our officers or employees. In addition, none of our executive officers has served as a member of the board of directors, or as a member of the compensation or similar committee, of any entity that has one or more executive officers who served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2" w:name="a_011"/>
      <w:bookmarkEnd w:id="12"/>
      <w:r>
        <w:rPr>
          <w:rFonts w:ascii="Times New Roman;Times;Serif" w:hAnsi="Times New Roman;Times;Serif"/>
          <w:b/>
          <w:i w:val="false"/>
          <w:smallCaps/>
          <w:sz w:val="20"/>
        </w:rPr>
        <w:t>EXECUTIVE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unless otherwise noted, “we,” “us,” “our,” “Company” and similar terms refer to Serve prior to the closing of the Merger, and to the Company and its subsidiaries after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executive compensation program for the Company’s named executive officers who appear in the “2023 Summary Compensation Table” below. In 2023, the “named executive officers” and their positions with the Company were as follows: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61"/>
        <w:gridCol w:w="9642"/>
      </w:tblGrid>
      <w:tr>
        <w:trPr/>
        <w:tc>
          <w:tcPr>
            <w:tcW w:w="10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pPr>
            <w:r>
              <w:rPr/>
              <w:t>●</w:t>
            </w:r>
          </w:p>
        </w:tc>
        <w:tc>
          <w:tcPr>
            <w:tcW w:w="9642" w:type="dxa"/>
            <w:tcBorders/>
            <w:vAlign w:val="center"/>
          </w:tcPr>
          <w:p>
            <w:pPr>
              <w:pStyle w:val="TableContents"/>
              <w:bidi w:val="0"/>
              <w:spacing w:before="0" w:after="283"/>
              <w:jc w:val="both"/>
              <w:rPr/>
            </w:pPr>
            <w:r>
              <w:rPr/>
              <w:t>Ali Kashani: Chief Executive Officer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w:t>
            </w:r>
          </w:p>
        </w:tc>
        <w:tc>
          <w:tcPr>
            <w:tcW w:w="9793" w:type="dxa"/>
            <w:tcBorders/>
            <w:vAlign w:val="center"/>
          </w:tcPr>
          <w:p>
            <w:pPr>
              <w:pStyle w:val="TableContents"/>
              <w:bidi w:val="0"/>
              <w:spacing w:before="0" w:after="283"/>
              <w:jc w:val="both"/>
              <w:rPr/>
            </w:pPr>
            <w:r>
              <w:rPr/>
              <w:t>Touraj Parang: President &amp; Chief Operating Officer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Euan Abraham: Senior Vice President of Hardware Engineering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Company’s most recent fiscal year.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56"/>
        <w:gridCol w:w="60"/>
        <w:gridCol w:w="60"/>
        <w:gridCol w:w="440"/>
        <w:gridCol w:w="60"/>
        <w:gridCol w:w="60"/>
        <w:gridCol w:w="60"/>
        <w:gridCol w:w="695"/>
        <w:gridCol w:w="60"/>
        <w:gridCol w:w="60"/>
        <w:gridCol w:w="105"/>
        <w:gridCol w:w="458"/>
        <w:gridCol w:w="60"/>
        <w:gridCol w:w="60"/>
        <w:gridCol w:w="124"/>
        <w:gridCol w:w="541"/>
        <w:gridCol w:w="60"/>
        <w:gridCol w:w="60"/>
        <w:gridCol w:w="61"/>
        <w:gridCol w:w="604"/>
        <w:gridCol w:w="60"/>
        <w:gridCol w:w="60"/>
        <w:gridCol w:w="119"/>
        <w:gridCol w:w="1116"/>
        <w:gridCol w:w="60"/>
        <w:gridCol w:w="60"/>
        <w:gridCol w:w="132"/>
        <w:gridCol w:w="1103"/>
        <w:gridCol w:w="60"/>
        <w:gridCol w:w="60"/>
        <w:gridCol w:w="60"/>
        <w:gridCol w:w="695"/>
        <w:gridCol w:w="76"/>
      </w:tblGrid>
      <w:tr>
        <w:trPr/>
        <w:tc>
          <w:tcPr>
            <w:tcW w:w="2856" w:type="dxa"/>
            <w:tcBorders>
              <w:bottom w:val="single" w:sz="12" w:space="0" w:color="000000"/>
            </w:tcBorders>
            <w:vAlign w:val="center"/>
          </w:tcPr>
          <w:p>
            <w:pPr>
              <w:pStyle w:val="TableContents"/>
              <w:bidi w:val="0"/>
              <w:spacing w:before="0" w:after="0"/>
              <w:ind w:left="0" w:right="0" w:hanging="18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3"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 </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br/>
              <w:t>Awards</w:t>
              <w:b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Awards</w:t>
              <w:b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br/>
              <w:t>Incentive Plan</w:t>
              <w:br/>
              <w:t>Compensation</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br/>
              <w:t>Compensation</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w:t>
            </w:r>
          </w:p>
        </w:tc>
        <w:tc>
          <w:tcPr>
            <w:tcW w:w="76"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Ali Kashani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142,722</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192,992</w:t>
            </w:r>
          </w:p>
        </w:tc>
        <w:tc>
          <w:tcPr>
            <w:tcW w:w="76"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Touraj Parang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250,155</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Operating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260,583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260,583</w:t>
            </w:r>
          </w:p>
        </w:tc>
        <w:tc>
          <w:tcPr>
            <w:tcW w:w="76"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5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Euan Abraham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279,890</w:t>
            </w:r>
          </w:p>
        </w:tc>
        <w:tc>
          <w:tcPr>
            <w:tcW w:w="76"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5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of Hardware Engineering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295,000</w:t>
            </w:r>
          </w:p>
        </w:tc>
        <w:tc>
          <w:tcPr>
            <w:tcW w:w="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awards and option awards are reported at aggregate grant date fair value in the year granted, as determined in accordance with the provisions of FASB ASC Topic 718. For the assumptions used in valuing these awards for purposes of computing this expense, please see Note 10 of the Company’s financial statements for the year ended December 31, 2023.</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2023, Dr. Kashani, Mr. Parang, and Mr. Abraham received an annual base salary of $105,738, $238,500, and $270,000, respectively, to compensate them for services rendered to Serve. In fiscal year 2022, Dr. Kashani, Mr. Parang, and Mr. Abraham received an annual base salary of $192,991, $260,583, and $295,000, respectively, to compensate them for services rendered to Serve. The base salary payable to each of Dr. Kashani, Mr. Parang and Mr. Abraham was intended to provide a fixed component of compensation reflecting the executive’s skill set, experience, role and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Dr. Kashani purchased 1,499,866 shares of Serve common stock for an aggregate purchase price of $1,866.67 (the “Kashani Time-Based Award”). On May 6, 2021, Mr. Parang purchased 535,163 shares of Serve common stock for an aggregate purchase price of $828.92 (the “Parang Time-Based Award”). On December 23, 2021, Mr. Abraham was granted an option to purchase 200,875 shares of Serve common stock (the “Abraham Time-Based Award” and together with the Kashani Time-Based Award and the Parang Time-Based Award, the “Time-Based Awards”). The Kashani Time-Based Award, the Parang Time-Based Award, and the Abraham Time-Based Award are each scheduled to vest as to 25% of the shares on February 18, 2022, March 22, 2022, and November 1, 2022, respectively, and as to 1/48</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of the shares monthly over the 36 month-period thereafter, subject to the executive’s continued employment through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2021, Dr. Kashani purchased 749,933 shares of Serve common stock for an aggregate purchase price of $933.34 (the “Kashani Milestone-Based Award”). On May 6, 2021, Mr. Parang purchased 267,581 shares of Serve common stock for an aggregate purchase price of $414.46 (the “Parang Milestone-Based Award”). On December 23, 2021, Mr. Abraham was granted an option to purchase 100,437 shares of Serve common stock (the “Abraham Milestone-Based Award” and together with the Kashani Milestone-Based Award and the Parang Milestone-Based Award, the “Milestone-Based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Milestone-Based Awards are each scheduled to vest as to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shares monthly over the 48 month-period following the achievement of a milestone prior to September 30, 2022. Between October and November 2022, our board of directors retroactively amended the vesting schedule to permit the 48-month vesting period to run from June 15, 2022, regardless of milestone achievement.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Dr. Kashani, Mr. Parang and Mr. Abraham were each granted an option to purchase 45,182, 11,403, and 12,909 shares of Serve common stock, which fully vested on the one-month anniversary of the closing of the Merger, subject to the executive’s continued employment through the vesting date. In addition, on June 6, 2023, Dr. Kashani, Mr. Parang and Mr. Abraham were each granted an option to purchase 19,373, 8,451, and 4,795 shares of Serve common stock, respectively, which are scheduled to vest as to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option shares on July 1, 2023 and monthly thereafter, subject to the executive’s continued employment through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Serve 2021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Serve’s board of directors originally adopted, and Serve’s stockholders approved, the 2021 Plan in 2021. The 2021 Plan provided for the grant of incentive stock options to Serve employees (and employees of any parent or subsidiary of Serve) and for the grant of non-statutory stock options, restricted stock and restricted stock purchase rights to Serve employees, directors and consultants (and employees and consultants of any parent, subsidiary or affiliate of Serve). The Serve board of directors terminated the 2021 Plan, effective as of and contingent upon the closing of the Merger. Following termination of the 2021 Plan, no new awards will be granted under such plan, but previously granted awards will continue to be subject to the terms and conditions of the 2021 Plan and the stock award agreements pursuant to which such awards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xml:space="preserve"> The Serve board of directors has administered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w:t>
      </w:r>
      <w:r>
        <w:rPr>
          <w:rFonts w:ascii="Times New Roman;Times;Serif" w:hAnsi="Times New Roman;Times;Serif"/>
          <w:b w:val="false"/>
          <w:i w:val="false"/>
          <w:caps w:val="false"/>
          <w:smallCaps w:val="false"/>
          <w:sz w:val="20"/>
        </w:rPr>
        <w:t xml:space="preserve"> The 2021 Plan provides for the grant of incentive stock options, non-statutory stock options, restricted stock and restricted stock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The Serve board of directors granted stock options under the 2021 Plan. The exercise price per share applicable to such options was equal to at least the fair market value per share of Serve common stock on the date of grant. The term of options granted under the 2021 Plan did not exceed 10 years; provided, however, that any incentive stock option granted to a participant who owned more than 10% of the total combined voting power of all classes of Serve stock, or of certain of Serve’s subsidiary corporations, did not have a term in excess of five years and had an exercise price per share of at least 110% of the fair market value per share of Serve common stock on the grant date. Subject to the provisions of the 2021 Plan, the Serve board of directors determined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all other cases except for a termination for cause, the option will generally remain exercisable for three months following the termination of service. In the event of a termination for cause, the option will immediately terminate. However, in no event may an option be exercised later than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w:t>
      </w:r>
      <w:r>
        <w:rPr>
          <w:rFonts w:ascii="Times New Roman;Times;Serif" w:hAnsi="Times New Roman;Times;Serif"/>
          <w:b w:val="false"/>
          <w:i w:val="false"/>
          <w:caps w:val="false"/>
          <w:smallCaps w:val="false"/>
          <w:sz w:val="20"/>
        </w:rPr>
        <w:t>The Serve board of directors granted stock options under the 2021 Plan. Subject to the provisions of the 2021 Plan, the Serve board of directors determined the terms of the restricted stock, including the number of shares that the participant will be entitled to purchase, the price to be paid, if any, the time within which such participant must accept the offer to purchase the restricted stock and the other terms applicable to the award. Unless the Serve board of directors determines otherwise, the restricted stock purchase agreement evidencing the award grants Serve a repurchase option exercisable upon the voluntary or involuntary termination of the participant’s service for any reason at a purchase price equal the original purchase price paid by the participant. The Serve board of directors determines the rate at which the repurchase option lapses. Once the restricted stock is purchased by the participant, the participant will have the rights equivalent to those of a holder of Serve capital stock, and shall be a record holder when his or her purchase and the issuance of the shares is entered upon the records of the duly authorized transfer agent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Non-transferability of Awards.</w:t>
      </w:r>
      <w:r>
        <w:rPr>
          <w:rFonts w:ascii="Times New Roman;Times;Serif" w:hAnsi="Times New Roman;Times;Serif"/>
          <w:b w:val="false"/>
          <w:i w:val="false"/>
          <w:caps w:val="false"/>
          <w:smallCaps w:val="false"/>
          <w:sz w:val="20"/>
        </w:rPr>
        <w:t xml:space="preserve"> Unless the Serve board of directors provided otherwise, the 2021 Plan generally did not allow for the transfer of awards or shares acquired pursuant to an award and only the recipient of an option may exercise such an award during his or her lifetime.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Certain Adjustments.</w:t>
      </w:r>
      <w:r>
        <w:rPr>
          <w:rFonts w:ascii="Times New Roman;Times;Serif" w:hAnsi="Times New Roman;Times;Serif"/>
          <w:b w:val="false"/>
          <w:i w:val="false"/>
          <w:caps w:val="false"/>
          <w:smallCaps w:val="false"/>
          <w:sz w:val="20"/>
        </w:rPr>
        <w:t xml:space="preserve"> In the event of certain corporate events or changes in Serve’s capitalization, to prevent diminution or enlargement of the benefits or potential benefits available under the 2021 Plan, the Serve board of directors will make adjustments to the number of shares reserved for issuance under the 2021 Plan, the exercise prices of and number of shares subject to each outstanding stock option and the purchase prices of and number of shares subject to each other outstanding stock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w:t>
      </w:r>
      <w:r>
        <w:rPr>
          <w:rFonts w:ascii="Times New Roman;Times;Serif" w:hAnsi="Times New Roman;Times;Serif"/>
          <w:b w:val="false"/>
          <w:i w:val="false"/>
          <w:caps w:val="false"/>
          <w:smallCaps w:val="false"/>
          <w:sz w:val="20"/>
        </w:rPr>
        <w:t xml:space="preserve"> The 2021 Plan provides that in the event of certain significant corporate transactions, including: (i) a transfer of all or substantially all of Serve’s assets, (ii) a merger, consolidation or other capital reorganization or business combination transaction of Serve with or into another corporation, entity or person or (iii) the consummation of a transaction, or series of related transactions, in which any person becomes the beneficial owner, directly or indirectly, of more than 50% of Serve’s then outstanding capital stock, each outstanding award will be treated as the Serve board of directors determines.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Termination.</w:t>
      </w:r>
      <w:r>
        <w:rPr>
          <w:rFonts w:ascii="Times New Roman;Times;Serif" w:hAnsi="Times New Roman;Times;Serif"/>
          <w:b w:val="false"/>
          <w:i w:val="false"/>
          <w:caps w:val="false"/>
          <w:smallCaps w:val="false"/>
          <w:sz w:val="20"/>
        </w:rPr>
        <w:t xml:space="preserve"> Serve’s board of directors may amend or terminate the 2021 Plan at any time, provided such action does not materially and adversely affect the rights of any participant without his or her consent. In addition, stockholder approval must be obtained to the extent necessary and desirable to comply with applicable laws. The Serve board of directors terminated the 2021 Plan, effective as of and contingent upon the closing of the Merger. Following termination of the 2021 Plan, no new awards will be granted under such plan, but previously granted awards will continue to be subject to the terms and conditions of the 2021 Plan and the stock award agreements pursuant to which such awards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provided benefits to its named executive officers on the same basis as provided to all of its employees, including medical, dental, vision, life and AD&amp;D, and short- and long-term disability insurance, flexible spending accounts, vacation and paid holidays. The named executive officers are also eligible to participate in the Company’s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each unexercised stock option or unvested stock award held by each named executive officer as of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8"/>
        <w:gridCol w:w="60"/>
        <w:gridCol w:w="945"/>
        <w:gridCol w:w="324"/>
        <w:gridCol w:w="60"/>
        <w:gridCol w:w="85"/>
        <w:gridCol w:w="1135"/>
        <w:gridCol w:w="60"/>
        <w:gridCol w:w="60"/>
        <w:gridCol w:w="113"/>
        <w:gridCol w:w="1287"/>
        <w:gridCol w:w="60"/>
        <w:gridCol w:w="60"/>
        <w:gridCol w:w="196"/>
        <w:gridCol w:w="619"/>
        <w:gridCol w:w="60"/>
        <w:gridCol w:w="60"/>
        <w:gridCol w:w="60"/>
        <w:gridCol w:w="1055"/>
        <w:gridCol w:w="60"/>
        <w:gridCol w:w="60"/>
        <w:gridCol w:w="64"/>
        <w:gridCol w:w="861"/>
        <w:gridCol w:w="219"/>
        <w:gridCol w:w="60"/>
        <w:gridCol w:w="140"/>
        <w:gridCol w:w="984"/>
        <w:gridCol w:w="80"/>
      </w:tblGrid>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9"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Option Awards</w:t>
            </w:r>
            <w:r>
              <w:rPr>
                <w:b/>
                <w:position w:val="8"/>
                <w:sz w:val="19"/>
              </w:rPr>
              <w:t>(1)</w:t>
            </w:r>
          </w:p>
        </w:tc>
        <w:tc>
          <w:tcPr>
            <w:tcW w:w="60" w:type="dxa"/>
            <w:tcBorders/>
            <w:vAlign w:val="center"/>
          </w:tcPr>
          <w:p>
            <w:pPr>
              <w:pStyle w:val="TableContents"/>
              <w:bidi w:val="0"/>
              <w:spacing w:before="0" w:after="283"/>
              <w:jc w:val="left"/>
              <w:rPr/>
            </w:pPr>
            <w:r>
              <w:rPr/>
              <w:t> </w:t>
            </w:r>
          </w:p>
        </w:tc>
        <w:tc>
          <w:tcPr>
            <w:tcW w:w="23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Stock Awards</w:t>
            </w:r>
            <w:r>
              <w:rPr>
                <w:b/>
                <w:position w:val="8"/>
                <w:sz w:val="19"/>
              </w:rPr>
              <w:t>(2)</w:t>
            </w:r>
          </w:p>
        </w:tc>
        <w:tc>
          <w:tcPr>
            <w:tcW w:w="80" w:type="dxa"/>
            <w:tcBorders/>
            <w:vAlign w:val="center"/>
          </w:tcPr>
          <w:p>
            <w:pPr>
              <w:pStyle w:val="TableContents"/>
              <w:bidi w:val="0"/>
              <w:spacing w:before="0" w:after="283"/>
              <w:jc w:val="left"/>
              <w:rPr/>
            </w:pPr>
            <w:r>
              <w:rPr/>
              <w:t> </w:t>
            </w:r>
          </w:p>
        </w:tc>
      </w:tr>
      <w:tr>
        <w:trPr/>
        <w:tc>
          <w:tcPr>
            <w:tcW w:w="1378"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center"/>
              <w:rPr>
                <w:b/>
              </w:rPr>
            </w:pPr>
            <w:r>
              <w:rPr>
                <w:b/>
              </w:rPr>
              <w:t>Grant Date</w:t>
            </w:r>
          </w:p>
        </w:tc>
        <w:tc>
          <w:tcPr>
            <w:tcW w:w="324"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exercise</w:t>
              <w:br/>
              <w:t>price</w:t>
              <w:br/>
              <w:t>($)</w:t>
            </w:r>
            <w:r>
              <w:rPr>
                <w:b/>
                <w:position w:val="8"/>
                <w:sz w:val="19"/>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of shares</w:t>
              <w:br/>
              <w:t>that have</w:t>
              <w:br/>
              <w:t>not</w:t>
              <w:br/>
              <w:t>vested</w:t>
              <w:b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Market</w:t>
              <w:br/>
              <w:t>value of</w:t>
              <w:br/>
              <w:t>shares that</w:t>
              <w:br/>
              <w:t>have not</w:t>
              <w:br/>
              <w:t>vested</w:t>
              <w:br/>
              <w:t>($)</w:t>
            </w:r>
            <w:r>
              <w:rPr>
                <w:b/>
                <w:position w:val="8"/>
                <w:sz w:val="19"/>
              </w:rPr>
              <w:t>(4)</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b/>
              </w:rPr>
            </w:pPr>
            <w:r>
              <w:rPr>
                <w:b/>
              </w:rPr>
              <w:t>Ali Kashani</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4/27/2021</w:t>
            </w:r>
          </w:p>
        </w:tc>
        <w:tc>
          <w:tcPr>
            <w:tcW w:w="324" w:type="dxa"/>
            <w:tcBorders/>
            <w:shd w:fill="CCEEFF" w:val="clear"/>
            <w:vAlign w:val="center"/>
          </w:tcPr>
          <w:p>
            <w:pPr>
              <w:pStyle w:val="TableContents"/>
              <w:bidi w:val="0"/>
              <w:spacing w:before="0" w:after="283"/>
              <w:jc w:val="center"/>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437,461</w:t>
            </w:r>
          </w:p>
        </w:tc>
        <w:tc>
          <w:tcPr>
            <w:tcW w:w="219"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1,749,844</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4/27/2021</w:t>
            </w:r>
          </w:p>
        </w:tc>
        <w:tc>
          <w:tcPr>
            <w:tcW w:w="324"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468,708</w:t>
            </w:r>
          </w:p>
        </w:tc>
        <w:tc>
          <w:tcPr>
            <w:tcW w:w="219" w:type="dxa"/>
            <w:tcBorders/>
            <w:vAlign w:val="center"/>
          </w:tcPr>
          <w:p>
            <w:pPr>
              <w:pStyle w:val="TableContents"/>
              <w:bidi w:val="0"/>
              <w:spacing w:before="0" w:after="283"/>
              <w:jc w:val="left"/>
              <w:rPr>
                <w:position w:val="8"/>
                <w:sz w:val="19"/>
              </w:rPr>
            </w:pPr>
            <w:r>
              <w:rPr>
                <w:position w:val="8"/>
                <w:sz w:val="19"/>
              </w:rPr>
              <w:t>(6)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283"/>
              <w:jc w:val="right"/>
              <w:rPr/>
            </w:pPr>
            <w:r>
              <w:rPr/>
              <w:t>1,874,832</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6/7/2023</w:t>
            </w:r>
          </w:p>
        </w:tc>
        <w:tc>
          <w:tcPr>
            <w:tcW w:w="324" w:type="dxa"/>
            <w:tcBorders/>
            <w:shd w:fill="CCEEFF" w:val="clear"/>
            <w:vAlign w:val="center"/>
          </w:tcPr>
          <w:p>
            <w:pPr>
              <w:pStyle w:val="TableContents"/>
              <w:bidi w:val="0"/>
              <w:spacing w:before="0" w:after="283"/>
              <w:jc w:val="center"/>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45,182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6/6/2028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6/7/2023</w:t>
            </w:r>
          </w:p>
        </w:tc>
        <w:tc>
          <w:tcPr>
            <w:tcW w:w="324" w:type="dxa"/>
            <w:tcBorders/>
            <w:vAlign w:val="center"/>
          </w:tcPr>
          <w:p>
            <w:pPr>
              <w:pStyle w:val="TableContents"/>
              <w:bidi w:val="0"/>
              <w:spacing w:before="0" w:after="283"/>
              <w:jc w:val="center"/>
              <w:rPr>
                <w:position w:val="8"/>
                <w:sz w:val="19"/>
              </w:rPr>
            </w:pPr>
            <w:r>
              <w:rPr>
                <w:position w:val="8"/>
                <w:sz w:val="19"/>
              </w:rPr>
              <w:t>(9)</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2,421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16,952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0.95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6/6/2028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b/>
              </w:rPr>
            </w:pPr>
            <w:r>
              <w:rPr>
                <w:b/>
              </w:rPr>
              <w:t>Touraj Parang</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5/6/2021</w:t>
            </w:r>
          </w:p>
        </w:tc>
        <w:tc>
          <w:tcPr>
            <w:tcW w:w="324" w:type="dxa"/>
            <w:tcBorders/>
            <w:shd w:fill="CCEEFF" w:val="clear"/>
            <w:vAlign w:val="center"/>
          </w:tcPr>
          <w:p>
            <w:pPr>
              <w:pStyle w:val="TableContents"/>
              <w:bidi w:val="0"/>
              <w:spacing w:before="0" w:after="283"/>
              <w:jc w:val="center"/>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167,238</w:t>
            </w:r>
          </w:p>
        </w:tc>
        <w:tc>
          <w:tcPr>
            <w:tcW w:w="219" w:type="dxa"/>
            <w:tcBorders/>
            <w:shd w:fill="CCEEFF" w:val="cle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668,952</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5/6/2021</w:t>
            </w:r>
          </w:p>
        </w:tc>
        <w:tc>
          <w:tcPr>
            <w:tcW w:w="324" w:type="dxa"/>
            <w:tcBorders/>
            <w:vAlign w:val="center"/>
          </w:tcPr>
          <w:p>
            <w:pPr>
              <w:pStyle w:val="TableContents"/>
              <w:bidi w:val="0"/>
              <w:spacing w:before="0" w:after="283"/>
              <w:jc w:val="center"/>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167,238</w:t>
            </w:r>
          </w:p>
        </w:tc>
        <w:tc>
          <w:tcPr>
            <w:tcW w:w="219" w:type="dxa"/>
            <w:tcBorders/>
            <w:vAlign w:val="center"/>
          </w:tcPr>
          <w:p>
            <w:pPr>
              <w:pStyle w:val="TableContents"/>
              <w:bidi w:val="0"/>
              <w:spacing w:before="0" w:after="283"/>
              <w:jc w:val="left"/>
              <w:rPr>
                <w:position w:val="8"/>
                <w:sz w:val="19"/>
              </w:rPr>
            </w:pPr>
            <w:r>
              <w:rPr>
                <w:position w:val="8"/>
                <w:sz w:val="19"/>
              </w:rPr>
              <w:t>(6)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before="0" w:after="283"/>
              <w:jc w:val="right"/>
              <w:rPr/>
            </w:pPr>
            <w:r>
              <w:rPr/>
              <w:t>668,952</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6/7/2023</w:t>
            </w:r>
          </w:p>
        </w:tc>
        <w:tc>
          <w:tcPr>
            <w:tcW w:w="324" w:type="dxa"/>
            <w:tcBorders/>
            <w:shd w:fill="CCEEFF" w:val="clear"/>
            <w:vAlign w:val="center"/>
          </w:tcPr>
          <w:p>
            <w:pPr>
              <w:pStyle w:val="TableContents"/>
              <w:bidi w:val="0"/>
              <w:spacing w:before="0" w:after="283"/>
              <w:jc w:val="center"/>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11,403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6/6/2033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6/7/2023</w:t>
            </w:r>
          </w:p>
        </w:tc>
        <w:tc>
          <w:tcPr>
            <w:tcW w:w="324" w:type="dxa"/>
            <w:tcBorders/>
            <w:vAlign w:val="center"/>
          </w:tcPr>
          <w:p>
            <w:pPr>
              <w:pStyle w:val="TableContents"/>
              <w:bidi w:val="0"/>
              <w:spacing w:before="0" w:after="283"/>
              <w:jc w:val="center"/>
              <w:rPr>
                <w:position w:val="8"/>
                <w:sz w:val="19"/>
              </w:rPr>
            </w:pPr>
            <w:r>
              <w:rPr>
                <w:position w:val="8"/>
                <w:sz w:val="19"/>
              </w:rPr>
              <w:t>(9)</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7,396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6/6/2033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b/>
              </w:rPr>
            </w:pPr>
            <w:r>
              <w:rPr>
                <w:b/>
              </w:rPr>
              <w:t>Euan Abraham</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12/23/2021</w:t>
            </w:r>
          </w:p>
        </w:tc>
        <w:tc>
          <w:tcPr>
            <w:tcW w:w="324" w:type="dxa"/>
            <w:tcBorders/>
            <w:shd w:fill="CCEEFF" w:val="clear"/>
            <w:vAlign w:val="center"/>
          </w:tcPr>
          <w:p>
            <w:pPr>
              <w:pStyle w:val="TableContents"/>
              <w:bidi w:val="0"/>
              <w:spacing w:before="0" w:after="283"/>
              <w:jc w:val="center"/>
              <w:rPr>
                <w:position w:val="8"/>
                <w:sz w:val="19"/>
              </w:rPr>
            </w:pP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104,622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96,253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12/22/2031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12/23/2021</w:t>
            </w:r>
          </w:p>
        </w:tc>
        <w:tc>
          <w:tcPr>
            <w:tcW w:w="324" w:type="dxa"/>
            <w:tcBorders/>
            <w:vAlign w:val="center"/>
          </w:tcPr>
          <w:p>
            <w:pPr>
              <w:pStyle w:val="TableContents"/>
              <w:bidi w:val="0"/>
              <w:spacing w:before="0" w:after="283"/>
              <w:jc w:val="center"/>
              <w:rPr>
                <w:position w:val="8"/>
                <w:sz w:val="19"/>
              </w:rPr>
            </w:pPr>
            <w:r>
              <w:rPr>
                <w:position w:val="8"/>
                <w:sz w:val="19"/>
              </w:rPr>
              <w:t>(11)</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37,664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62,773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12/22/2031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r>
      <w:tr>
        <w:trPr/>
        <w:tc>
          <w:tcPr>
            <w:tcW w:w="13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center"/>
              <w:rPr/>
            </w:pPr>
            <w:r>
              <w:rPr/>
              <w:t>6/7/2023</w:t>
            </w:r>
          </w:p>
        </w:tc>
        <w:tc>
          <w:tcPr>
            <w:tcW w:w="324" w:type="dxa"/>
            <w:tcBorders/>
            <w:shd w:fill="CCEEFF" w:val="clear"/>
            <w:vAlign w:val="center"/>
          </w:tcPr>
          <w:p>
            <w:pPr>
              <w:pStyle w:val="TableContents"/>
              <w:bidi w:val="0"/>
              <w:spacing w:before="0" w:after="283"/>
              <w:jc w:val="center"/>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12,909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6/6/2033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center"/>
              <w:rPr/>
            </w:pPr>
            <w:r>
              <w:rPr/>
              <w:t>6/7/2023</w:t>
            </w:r>
          </w:p>
        </w:tc>
        <w:tc>
          <w:tcPr>
            <w:tcW w:w="324" w:type="dxa"/>
            <w:tcBorders/>
            <w:vAlign w:val="center"/>
          </w:tcPr>
          <w:p>
            <w:pPr>
              <w:pStyle w:val="TableContents"/>
              <w:bidi w:val="0"/>
              <w:spacing w:before="0" w:after="283"/>
              <w:jc w:val="center"/>
              <w:rPr>
                <w:position w:val="8"/>
                <w:sz w:val="19"/>
              </w:rPr>
            </w:pPr>
            <w:r>
              <w:rPr>
                <w:position w:val="8"/>
                <w:sz w:val="19"/>
              </w:rPr>
              <w:t>(9)</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599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4,196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6/6/2033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right"/>
              <w:rPr/>
            </w:pPr>
            <w:r>
              <w:rPr/>
              <w:t>—</w:t>
            </w:r>
          </w:p>
        </w:tc>
        <w:tc>
          <w:tcPr>
            <w:tcW w:w="219"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stock options listed above cover shares of our common stock following the closing of the Merger and were granted under the 2021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restricted shares listed above cover shares of our common stock following the closing of the Merger. The restricted shares held by Mr. Parang were issued pursuant to the 2021 Plan, while the restricted shares held by Dr. Kashani were issued outside of the 2021 Plan.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(3)</w:t>
            </w:r>
          </w:p>
        </w:tc>
        <w:tc>
          <w:tcPr>
            <w:tcW w:w="9902" w:type="dxa"/>
            <w:tcBorders/>
            <w:vAlign w:val="center"/>
          </w:tcPr>
          <w:p>
            <w:pPr>
              <w:pStyle w:val="TableContents"/>
              <w:bidi w:val="0"/>
              <w:spacing w:before="0" w:after="283"/>
              <w:jc w:val="both"/>
              <w:rPr/>
            </w:pPr>
            <w:r>
              <w:rPr/>
              <w:t>This column represents the fair market value of a share of Serve common stock on the date of grant, as determined by the Serve board of directors.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column represents the number of unvested restricted shares outstanding as of December 31, 2023, multiplied by $4.00, which is the per share value of Serve common stock as of December 31, 2023, based upon the purchase price per share of common stock in the Private Placement in July through October 2023.</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283"/>
              <w:jc w:val="both"/>
              <w:rPr/>
            </w:pPr>
            <w:r>
              <w:rPr/>
              <w:t>The restricted shares are subject to a 4-year vesting schedule, with 25% of the shares vesting on February 18, 2022 and 1/48</w:t>
            </w:r>
            <w:r>
              <w:rPr>
                <w:position w:val="8"/>
                <w:sz w:val="19"/>
              </w:rPr>
              <w:t xml:space="preserve">th </w:t>
            </w:r>
            <w:r>
              <w:rPr/>
              <w:t>of the shares vesting monthly over the 36 month-period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(6)</w:t>
            </w:r>
          </w:p>
        </w:tc>
        <w:tc>
          <w:tcPr>
            <w:tcW w:w="9933" w:type="dxa"/>
            <w:tcBorders/>
            <w:vAlign w:val="center"/>
          </w:tcPr>
          <w:p>
            <w:pPr>
              <w:pStyle w:val="TableContents"/>
              <w:bidi w:val="0"/>
              <w:spacing w:before="0" w:after="283"/>
              <w:jc w:val="both"/>
              <w:rPr/>
            </w:pPr>
            <w:r>
              <w:rPr/>
              <w:t>The restricted shares are subject to a 4-year vesting schedule running from the date our board of directors retroactively determined that vesting should run regardless of Milestone achievement, with 1/48</w:t>
            </w:r>
            <w:r>
              <w:rPr>
                <w:position w:val="8"/>
                <w:sz w:val="19"/>
              </w:rPr>
              <w:t>th</w:t>
            </w:r>
            <w:r>
              <w:rPr/>
              <w:t xml:space="preserve"> of the shares vesting on July 15, 2022 and monthly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(7)</w:t>
            </w:r>
          </w:p>
        </w:tc>
        <w:tc>
          <w:tcPr>
            <w:tcW w:w="9926" w:type="dxa"/>
            <w:tcBorders/>
            <w:vAlign w:val="center"/>
          </w:tcPr>
          <w:p>
            <w:pPr>
              <w:pStyle w:val="TableContents"/>
              <w:bidi w:val="0"/>
              <w:spacing w:before="0" w:after="283"/>
              <w:jc w:val="both"/>
              <w:rPr/>
            </w:pPr>
            <w:r>
              <w:rPr/>
              <w:t>The restricted shares are subject to a 4-year vesting schedule, with 25% of the shares vesting on March 22, 2022 and 1/48</w:t>
            </w:r>
            <w:r>
              <w:rPr>
                <w:position w:val="8"/>
                <w:sz w:val="19"/>
              </w:rPr>
              <w:t xml:space="preserve">th </w:t>
            </w:r>
            <w:r>
              <w:rPr/>
              <w:t>of the shares vesting monthly over the 36 month-period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(8)</w:t>
            </w:r>
          </w:p>
        </w:tc>
        <w:tc>
          <w:tcPr>
            <w:tcW w:w="9915" w:type="dxa"/>
            <w:tcBorders/>
            <w:vAlign w:val="center"/>
          </w:tcPr>
          <w:p>
            <w:pPr>
              <w:pStyle w:val="TableContents"/>
              <w:bidi w:val="0"/>
              <w:spacing w:before="0" w:after="283"/>
              <w:jc w:val="both"/>
              <w:rPr/>
            </w:pPr>
            <w:r>
              <w:rPr/>
              <w:t>100% of the option shares vested and became exercisable on the one-month anniversary of the closing of the Merger, subject to the executive’s continued employment through the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(9)</w:t>
            </w:r>
          </w:p>
        </w:tc>
        <w:tc>
          <w:tcPr>
            <w:tcW w:w="9918" w:type="dxa"/>
            <w:tcBorders/>
            <w:vAlign w:val="center"/>
          </w:tcPr>
          <w:p>
            <w:pPr>
              <w:pStyle w:val="TableContents"/>
              <w:bidi w:val="0"/>
              <w:spacing w:before="0" w:after="283"/>
              <w:jc w:val="both"/>
              <w:rPr/>
            </w:pPr>
            <w:r>
              <w:rPr/>
              <w:t>The options are subject to a 4-year vesting schedule, with 1/48</w:t>
            </w:r>
            <w:r>
              <w:rPr>
                <w:position w:val="8"/>
                <w:sz w:val="19"/>
              </w:rPr>
              <w:t>th</w:t>
            </w:r>
            <w:r>
              <w:rPr/>
              <w:t xml:space="preserve"> of the option shares vesting on July 1, 2023 and monthly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(10)</w:t>
            </w:r>
          </w:p>
        </w:tc>
        <w:tc>
          <w:tcPr>
            <w:tcW w:w="9808" w:type="dxa"/>
            <w:tcBorders/>
            <w:vAlign w:val="center"/>
          </w:tcPr>
          <w:p>
            <w:pPr>
              <w:pStyle w:val="TableContents"/>
              <w:bidi w:val="0"/>
              <w:spacing w:before="0" w:after="283"/>
              <w:jc w:val="both"/>
              <w:rPr/>
            </w:pPr>
            <w:r>
              <w:rPr/>
              <w:t>The options are subject to a 4-year vesting schedule, with 25% of the option shares vesting on November 1, 2022 and 1/48</w:t>
            </w:r>
            <w:r>
              <w:rPr>
                <w:position w:val="8"/>
                <w:sz w:val="19"/>
              </w:rPr>
              <w:t xml:space="preserve">th </w:t>
            </w:r>
            <w:r>
              <w:rPr/>
              <w:t>of the option shares vesting monthly over the 36-month period thereafter, subject to the executive’s continued employment through each vesting date.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(11)</w:t>
            </w:r>
          </w:p>
        </w:tc>
        <w:tc>
          <w:tcPr>
            <w:tcW w:w="9813" w:type="dxa"/>
            <w:tcBorders/>
            <w:vAlign w:val="center"/>
          </w:tcPr>
          <w:p>
            <w:pPr>
              <w:pStyle w:val="TableContents"/>
              <w:bidi w:val="0"/>
              <w:spacing w:before="0" w:after="283"/>
              <w:jc w:val="both"/>
              <w:rPr/>
            </w:pPr>
            <w:r>
              <w:rPr/>
              <w:t>The options are subject to a 4-year vesting schedule running from the date our board of directors retroactively determined that vesting should run regardless of Milestone achievement, with 1/48</w:t>
            </w:r>
            <w:r>
              <w:rPr>
                <w:position w:val="8"/>
                <w:sz w:val="19"/>
              </w:rPr>
              <w:t>th</w:t>
            </w:r>
            <w:r>
              <w:rPr/>
              <w:t xml:space="preserve"> of the option shares vesting on July 15, 2022 and monthly thereafter, subject to the executive’s continued employment through each vesting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Brian Read Offer Letter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2024, Serve entered into an offer letter with Brian Read, who will become our Chief Financial Officer effective on the Read Effective Date. Pursuant to the terms of his offer letter, Mr. Read is entitled to an annual base salary of $250,000 per year. In addition, Mr. Read is entitled to a one-time signing bonus of $25,000, payable at the end of the first payroll period 90 days after the Read Effective Date, subject to applicable taxes and withholdings and which shall be repaid in full upon the voluntary termination of employment within one year of the Read Effective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Read is also eligible to participate in our employee benefits plans as generally made available to similarly situated employees. Mr. Read’s employment is “at-will” and may be terminated by either party at any time, with or without cause or notice.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Board approval, Mr. Read will be granted a restricted stock award to purchase 240,000 shares of the Company’s common stock (the “Read Time-Based Equity Award”). The Read Time-Based Equity Award will vest over four years at the rate of 25% of the total number of the Read Time-Based Equity Award shares on the one-year anniversary of Mr. Read’s start date and 1/48th of the total number of the Read Time-Based Equity Award shares on each monthly anniversary thereafter, subject to his continuous service with us through each applicable vesting date. For additional information regarding the Read Time-Based Award, please see the section below titled “</w:t>
      </w:r>
      <w:r>
        <w:rPr>
          <w:rFonts w:ascii="Times New Roman;Times;Serif" w:hAnsi="Times New Roman;Times;Serif"/>
          <w:b w:val="false"/>
          <w:i/>
          <w:caps w:val="false"/>
          <w:smallCaps w:val="false"/>
          <w:sz w:val="20"/>
        </w:rPr>
        <w:t>Potential Payments Upon Termination or Change in Control — Time-Based Awards and Milestone-Based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Touraj Parang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2021, Serve entered into an offer letter with the Company’s President and Chief Operating Officer, Touraj Parang, pursuant to which Mr. Parang is entitled to an annual base salary of $250,000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Parang is eligible to participate in the Company employee benefits plans maintained by the Company and generally made available to similarly situated employees. Mr. Parang’s employment is “at-will” and may be terminated by either party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approval of our board of directors, Mr. Parang will be granted the Parang Time-Based Equity Award which consists of restricted stock award to purchase 666,040 shares of the Company’s common stock. The Parang Time-Based Equity Award will vest over four years at the rate of 25% of the total number of the Parang Time-Based Equity Award shares on the one-year anniversary of Mr. Parang’s start date and 1/48th of the total number of the Parang Time-Based Equity Award shares on each monthly anniversary thereafter, subject to his continuous service with the Company through each vesting date. In addition, subject to the approval of our board of directors, Mr. Parang will be granted the Parang Milestone-Based Equity Award which consists of restricted stock award to purchase 333,020 shares of the Company’s common stock. Once the milestone is achieved, the Parang Milestone-Based Equity Award will vest over four years thereafter at the rate of 1/48th of the total number of Parang Milestone-Based Equity Award shares on each monthly anniversary of the Parang Milestone Achievement Date, subject to his continuous service with the Company through each vesting date. For additional information regarding the Parang Time-Based Award and Parang Milestone-Based Award, please see the section below titled “</w:t>
      </w:r>
      <w:r>
        <w:rPr>
          <w:rFonts w:ascii="Times New Roman;Times;Serif" w:hAnsi="Times New Roman;Times;Serif"/>
          <w:b w:val="false"/>
          <w:i/>
          <w:caps w:val="false"/>
          <w:smallCaps w:val="false"/>
          <w:sz w:val="20"/>
        </w:rPr>
        <w:t>Potential Payments Upon Termination or Change in Control — Time-Based Awards and Milestone-Based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Parang will continue to be employed by the Company under the terms of his offer letter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a termination payment letter entered into with Mr. Parang in fiscal year 2021, please see the section below titled “</w:t>
      </w:r>
      <w:r>
        <w:rPr>
          <w:rFonts w:ascii="Times New Roman;Times;Serif" w:hAnsi="Times New Roman;Times;Serif"/>
          <w:b w:val="false"/>
          <w:i/>
          <w:caps w:val="false"/>
          <w:smallCaps w:val="false"/>
          <w:sz w:val="20"/>
        </w:rPr>
        <w:t>Potential Payments Upon Termination or Change in Control — Parang Termination Payment Letter</w:t>
      </w:r>
      <w:r>
        <w:rPr>
          <w:rFonts w:ascii="Times New Roman;Times;Serif" w:hAnsi="Times New Roman;Times;Serif"/>
          <w:b w:val="false"/>
          <w:i w:val="false"/>
          <w:caps w:val="false"/>
          <w:smallCaps w:val="false"/>
          <w:sz w:val="20"/>
        </w:rPr>
        <w:t>” in this registration statement on Form S-1.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Euan Abraham Offer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2021, Serve entered into an offer letter whereby Euan Abraham agreed to serve as the Company’s Senior Vice President of Hardware Engineering beginning January 1, 2022 pursuant to which Mr. Abraham is entitled to an annual base salary of $300,000 per year. In November 2022, Mr. Abraham’s annual base salary was adjusted to $240,000 per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Abraham is eligible to participate in the Company employee benefits plans maintained by the Company and generally made available to similarly situated employees. Mr. Abraham’s employment is “at-will” and may be terminated by either party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Abraham will continue to be employed by the Company under the terms of his offer letter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Time-Based Awards and Milestone-Based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Time-Based Awards granted to Dr. Kashani, Mr. Parang and Mr. Read and the Milestone-Based Awards granted to Dr. Kashani and Mr. Parang will fully vest upon a termination of service by the Company without “cause” or upon the executive’s resignation for “good reason” (each, an “involuntary termination”). The acceleration of the Kashani Time-Based Award and the Kashani Milestone-Based Award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date of involuntary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applicable executive’s service with the Company terminates for any reason, any unvested shares subject to the Time-Based Awards granted to Dr. Kashani, Mr. Parang and Mr. Read and the Milestone-Based Awards granted to Dr. Kashani and Mr. Parang may be repurchased by the Company within three months following the date of termination at the original purchase price paid for the shares. In addition, in the event the applicable executive’s service with the Company terminates for any reason on or prior to February 18, 2025, any vested shares subject to the Milestone-Based Awards granted to Dr. Kashani and Mr. Parang may be repurchased by the Company within three months following the date of termination at the lesser of (x) a purchase price per share of the Company’s common stock equal to $500 million divided by the then fully diluted capitalization of the Company or (y) the then current fair market value per share of the Company’s common stock (the “Award Call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Time-Based Awards granted to Dr. Kashani, Mr. Parang and Mr. Read and the Milestone-Based Awards granted to Dr. Kashani and Mr. Parang, “cause” means: (i) any material breach by the executive of any material written agreement between the executive and the Company and the executive’s failure to cure such breach within 30 days after receiving written notice thereof; (ii) any failure by the executive to comply with the Company’s material written policies or rules as they may be in effect from time to time; (iii) neglect or persistent unsatisfactory performance of the executive’s duties and the executive’s failure to cure such condition within 30 days after receiving written notice thereof; (iv) the executive’s repeated failure to follow reasonable and lawful instructions from the Company’s board of directors and the executive’s failure to cure such condition within 30 days after receiving written notice thereof; (v) the executive’s conviction of, or plea of guilty or nolo contendere to, any crime that results in, or is reasonably expected to result in, material harm to the business or reputation of the Company; (vi) the executive’s commission of or participation in an act of fraud against the Company; (vii) the executive’s intentional material damage to the Company’s business, property or reputation or (viii) the executive’s unauthorized use or disclosure of any proprietary information or trade secrets of the Company or any other party to whom the executive owes an obligation of nondisclosure as a result of the executive’s relationship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Kashani Time-Based Award and the Kashani Milestone-Based Award, “good reason” means Dr. Kashani’s resignation due to the occurrence of any of the following conditions which occurs without his written consent, provided that the requirements regarding advance notice and an opportunity to cure set forth below are satisfied: (i) his then-current base salary is reduced by more than 10% (other than as part of an across-the-board salary reduction applicable to all similarly situated employees); (ii) a material reduction of his duties, authority, responsibilities or reporting relationship, relative to his duties, authority, responsibilities or reporting relationship as in effect immediately prior to such reduction or (iii) Serve (or its successor) conditions his continued service on the executive being transferred to a site of employment that would increase his one-way commute by more than 50 miles from his then-principal residence.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Parang Time-Based Award and the Parang Milestone-Based Award, “good reason” means Mr. Parang’s resignation due to the occurrence of any of the following conditions which occurs without his written consent, provided that the requirements regarding advance notice and an opportunity to cure set forth below are satisfied: (i) a reduction of his then current base salary by 10% or more unless such reduction is part of a generalized salary reduction affecting similarly situated employees; (ii) a change in his position with Serve that materially reduces the executive’s duties, level of authority or responsibility or (iii) conditioning his continued service with us on his being transferred to a site of employment that would increase his one-way commute by more than 35 miles from his then-principal residence.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Read Time-Based Award, “good reason” means Mr. Read’s resignation due to the occurrence of any of the following conditions which occurs without his written consent, provided that the requirements regarding advance notice and an opportunity to cure set forth below are satisfied: (i) a material reduction of his duties, authority, responsibilities or reporting relationship, relative to his duties, authority, responsibilities or reporting relationship as in effect immediately prior to such reduction, provided that neither (1) reporting to any chief executive officer of the Company or (2) a change in title alone in connection with a “change in control” (as defined in Mr. Read’s offer letter) constitute a material diminution of his authority, duties or responsibilities; (ii) we (or our successor) condition his continued service with us on his being transferred to a site of employment that would increase his one-way commute by more than 50 miles from his then-principal residence; (iii) a reduction of his then-current base salary by 20% or more unless such reduction is part of a generalized salary reduction affecting all other senior executives by the same amount as part of a general compensation level reduction or (iv) our material breach of any of our obligations under Mr. Read’s offer letter.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Advance Notice and Cure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Dr. Kashani or Mr. Read to resign for “good reason”, they must provide written notice to us of the existence of the good reason condition within 30 days of the initial existence of such condition. Upon receipt of such notice, we will have 30 days during which we may remedy the good reason condition and not be required to provide for the benefits described in the applicable offer letter as a result of such proposed resignation. If the good reason condition is not remedied within such 30-day period, the executive may resign based on the good reason condition specified in the notice effective no later than 30 days, in the case of Mr. Read, and 60 days, in the case of Dr. Kashani, following the expiration of our 30-day cure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Parang Termination Payment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2021, Serve entered into a termination payment letter agreement with Mr. Parang (the “Termination Payment Letter”), which provides that if (i) the Company terminates Mr. Parang’s service with the Company without cause on or prior to February 18, 2025 and (ii) the Company exercises its Award Call Option with respect to all or a portion of the Parang Milestone-Based Award, then the Company will pay Mr. Parang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termination. The termination payment is subject to Mr. Parang’s return of all Company property in his possession within 10 business days following the date of involuntary termination and his execution of a general release of all claims that becomes effective no later than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Kashani Termination Payment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2021, Serve entered into a termination payment letter agreement with Dr. Kashani (the “Termination Payment Letter”), which provides that if (i) the Company terminates Dr. Kashani’s service with the Company without cause on or prior to February 18, 2025 and (ii) the Company exercises its Award Call Option with respect to all or a portion of the Kashani Milestone-Based Award, then the Company will pay Dr. Kashani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 a lump sum on the first regularly scheduled payroll date after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termination. The termination payment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final rules adopted by the SEC and Nasdaq implementing the incentive-based compensation recovery provisions of the Dodd-Frank Act, our board of directors approved the Serve Robotics Inc. Compensation Recovery Policy, effective as of October 2, 2023, which provides that in the event the Company is required to restate any of its financial statements that have been filed with the SEC, then the Compensation Committee will seek to recover any erroneously awarded performance-based incentive-based compensation (including any performance-based cash and equity awards and salary increases earned wholly or in part based on the attainment of financial performance goals) received by any person who is or was a Section 16 officer during the three-fiscal year recovery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material features of the 2023 Plan. The 2023 Plan is set forth in its entirety as an exhibit to this registration statement on Form S-1, and all descriptions of the 2023 Plan contained in this section are qualified by reference to the complete text of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is intended to (i) attract and retain the best available personnel to ensure our success and accomplish our goals, (ii) incentivize employees, directors and independent contractors with long-term equity-based compensation to align their interests with our stockholders and (iii) promote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permits the grant of incentive stock options, nonstatutory stock options, stock appreciation rights (“SARs”), restricted stock, restricted stock units (“RSUs”) and stock bonus awards (all such types of awards, collectively,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Plan may, at the discretion of the Plan Administrator (as defined below), be increased on October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each fiscal year beginning with the 2023 fiscal year until the 2023 Plan terminates, in each case, in an amount equal to the lesser of (i) at the discretion of our board of directors, 4% of the shares of common stock issued and outstanding on the last day of the immediately preceding month on a fully-diluted and as-converted basis and (ii) such other number of shares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Lapsed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stock awards or awards or shares issued under the 2021 Plan that are assumed by the Company pursuant to the Merger Agreement (“Existing Plan Awards”) expire or are forfeited or becomes unexercisable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Assumption or Substitution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(as defined below), from time to time, may determine to substitute or assume outstanding awards granted by another company, whether in connection with an acquisition of such other company or otherwise, by either: (a) assuming such award under the 2023 Plan or (b) granting a stock award under the 2023 Plan in substitution of such other company’s award. Such assumption or substitution will be permissible if the holder of the substituted or assumed award would have been eligible to be granted a stock award under the 2023 Plan if the other company had applied the rules of the 2023 Plan to such grant. In the event the Plan Administrator elects to assume an award granted by another company, subject to the requirements of Section 409A of the Code (“Section 409A”), the purchase price or the exercise price, as the case may be, and the number and nature of shares issuable upon exercise or settlement of any such stock award will be adjusted appropriately. In the event the Plan Administrator elects to grant a new option in substitution rather than assuming an existing option, such new option may be granted with a similarly adjusted exercise price. Any awards that are assumed or substituted under the 2023 Plan shall not reduce the number of shares authorized for grant under the 2023 Plan or authorized for grant to a participant in any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directors and independent contractors or our affiliates are all eligible to participate in the 2023 Plan. However, Incentive Stock Options may only be granted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is administered by our board of directors or a committee thereof, which committee will be constituted to satisfy applicable laws (the “Plan Administrator”). To the extent desirable to qualify transactions under the 2023 Plan as exempt under Rule 16b-3 of the Exchange Act, the transactions contemplated un the 2023 Plan will be structured to satisfy the requirements for exemption under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2023 Plan, the Plan Administrator has the authority, in its discretion, to (i) determine the fair market value in accordance with the 2023 Plan; (ii) select the service providers to whom stock awards may be granted under the 2023 Plan; (iii) determine the number of shares to be covered by each stock award granted under the 2023 Plan; (iv) approve forms of stock award agreements for use under the 2023 Plan; (v) determine the terms and conditions, not inconsistent with the terms of the 2023 Plan, of any stock award granted thereunder; (vi) institute and determine the terms and conditions of an exchange program under the terms of the 2023 Plan (subject to stockholder approval); (vii) construe and interpret the terms of the 2023 Plan and stock awards granted pursuant to the 2023 Plan; (viii) correct any defect, supply any omission or reconcile any inconsistency in the 2023 Plan, any stock award or any award agreement; (ix) prescribe, amend and rescind rules and regulations relating to the 2023 Plan; (x) modify or amend each stock award (subject to the terms of the 2023 Plan); (xi) adjust performance goals to take into account changes in applicable laws or in accounting or tax rules, or such other extraordinary, unforeseeable, nonrecurring or infrequently occurring events or circumstances as the Plan Administrator deems necessary or appropriate to avoid windfalls or hardships; (xii) allow participants to satisfy tax withholding obligations in such manner as prescribed in the 2023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Plan Administrator, in its sole discretion and on such terms and conditions as it may provide, may delegate all or any part of its authority and powers under the 2023 Plan to one or more of our directors or officers. To the extent permitted by applicable laws, the Plan Administrator may delegate to one or more officers who may be (but are not required to be) insiders subject to Section 16 of the Exchange Act, the authority to do any of the following (i) designate employees who are not insiders to be recipients of stock awards, (ii) determine the number of shares to be subject to such stock awards granted to such designated employees and (iii) take any and all actions on behalf of the Plan Administrator other than any actions that affect the amount or form of compensation of Insiders or have material tax, accounting, financial, human resource or legal consequences to us or our affiliates; provided, however, that the Plan Administrator resolutions regarding any delegation with respect to (i) and (ii) will specify the total number of shares that may be subject to the stock awards granted by such officer and that such officer may not grant a stock award to himself or herself. Any stock awards will be granted on the form of award agreement most recently approved for use by the Plan Administrator, unless otherwise provided in the resolutions approving the delegation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in its sole discretion, determine the performance goals, if any, applicable to any stock award (including any adjustment(s) thereto that will be applied in determining the achievement of such performance goals) on or prior to the Determination Date (as defined in the 2023 Plan). The performance goals may differ from participant to participant and from stock award to stock award. The Plan Administrator shall determine and approve the extent to which such performance goals have been timely achieved and the extent to which the shares subject to such stock award have thereby been earned.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to participants who are insiders subject to Section 16 of the Exchange Act must be approved by two or more “non-employee directors” of our board of directors (as defined in the regulations promulgated under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option will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$0.10 million, such stock options will be treated as nonstatutory stock options. Incentive stock options may only be granted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each stock option will be stated in the stock award agreement. In the case of an incentive stock option, the term will be ten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Section 424(a)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stock option is granted, the Plan Administrator will fix the period within which the stock option may be exercised and will determine any conditions that must be satisfied before the stock option may be exercised. A stock option may become exercisable upon completion of a specified period of service with us or one of our affiliates and/or based on the achievement of performance goals during a performance period as set out in advance in the participant’s award agreement. If a stock option is exercisable based on the satisfaction of performance goals, then the Plan Administrator will: (x) determine the nature, length and starting date of any performance period for such stock option; (y) select the performance goals to be used to measure the performance and (z) determine what additional vesting conditions, if any, should apply.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 The Plan Administrator will also determine the acceptable form of consideration for exercising a stock option, including the method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 ceases to be a service provider other than for “Cause” (as defined in the 2023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three months following a termination for any other reason. Any outstanding stock option (including any vested portion thereof) held by a participant shall immediately terminate in its entirety upon the participant being first notified of his or her termination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Appreciation Rights (SARs)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will determine the terms and conditions of each SAR, provided that the exercise price for each SAR will be no less than 100% of the fair market value of the underlying shares of common stock on the date of grant. An SAR may become exercisable upon completion of a specified period of service with us or one of our affiliates and/or based on the achievement of performance goals during a performance period as set out in advance in the participant’s award agreement. If an SAR is exercisable based on the satisfaction of performance goals, then the Plan Administrator will: (x) determine the nature, length and starting date of any performance period for such SAR; (y) select the performance goals to be used to measure the performance and (z) determine what additional vesting conditions, if any, should apply.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 Upon exercise of an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or shares of common stock, as determined by the Plan Administrator. SARs are exercisable at the times and on the terms established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and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are grants of shares of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common stock. Restrictions may lapse upon the completion of a specified period of service with us or one of our affiliates and/or based on the achievement of performance goals during a performance period as set out in advance in the participant’s award agreement. If the unvested shares of restricted stock or RSUs are being earned upon the satisfaction of performance goals, then the Plan Administrator will: (x) determine the nature, length and starting date of any performance period for each unvested share or RSU; (y) select the performance goals to be used to measure the performance and (z) determine what additional vesting conditions, if any, should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restricted stock or RSUs should be granted, and/or the vesting schedule for such a stock award, the Plan Administrator may impose whatever conditions on vesting as it determines to be appropriate. For example, the Plan Administrator may determine to grant restricted stock or RSUs only if performance goals established by the Plan Administrator are satisfied. Any performance goals may be applied on a Company-wide or an individual business unit basis, as determined by the Plan Administrator. Please refer to the discussion below under “—</w:t>
      </w:r>
      <w:r>
        <w:rPr>
          <w:rFonts w:ascii="Times New Roman;Times;Serif" w:hAnsi="Times New Roman;Times;Serif"/>
          <w:b w:val="false"/>
          <w:i/>
          <w:caps w:val="false"/>
          <w:smallCaps w:val="false"/>
          <w:sz w:val="20"/>
        </w:rPr>
        <w:t>Performance Goals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restricted stock with respect to which they were paid. During the period of restriction, such dividends or other distributions shall be subject to the same restrictions and risk of forfeiture as the shares of restricted stock with respect to which the dividends accrue and shall not be paid or distributed unless and until such related shares have vested and been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Bonus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bonus award is an award of shares to an eligible person without a purchase price that is not subject to any restrictions. All stock bonus awards may but are not required to be made pursuant to an award agreement. The Plan Administrator will determine the number of shares to be awarded to the participant under a stock bonus award. Payment may be made in the form of cash, whole shares or a combination thereof, based on the fair market value of the shares subject to the stock bonus award on the date of payment, as determined in the sole discretion of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in its discretion may make performance goals applicable to a participant with respect to a stock award. In the Plan Administrator’s discretion, one or more of the following performance goals may apply: (1) sales or non-sales revenue; (2) return on revenues; (3) 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 (14) 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 (20) 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and/or completion of critical staff training initiatives; (26) objective goals relating to projects and (27) enterprise resource planning. Stock awards issued to participants may take into account other criteria (including subjective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Outside Director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 granted during a single fiscal year under the 2023 Plan or otherwise, taken together with any cash fees paid during such fiscal year for services on the board of directors, shall not exceed $0.50 million in total value for any non-employee director (“Outside Director”) (calculating the value of any such stock awards, in each case, based on the grant date fair value of such stock awards for financial reporting purposes). Such applicable limit shall include the value of any stock awards that are received in lieu of all or a portion of any annual committee cash retainers or other similar cash-based payments. Stock awards granted to an individual while he or she was serving in the capacity as an employee or while he or she was an independent contractor but not an Outside Director will not count for purposes of these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Leaves of Absence / Transfer Between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has the discretion to determine at any time whether and to what extent the vesting of stock awards shall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subsidiary. If an employee holds an incentive stock option and such leave exceeds three months then, for purposes of incentive stock option status only, such employee’s service as an employee shall be deemed terminated on the first day following such 3-month period and the incentive stock option shall thereafter automatically be treated for tax purposes as a nonstatutory stock option in accordance with applicable laws, unless reemployment upon the expiration of such leave is guaranteed by contract or statute, or unless provided otherwise pursuant to a written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Time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participant’s regular level of time commitment in the performance of his or her services for us or one of our affiliates is reduced (for example, and without limitation, if the participant is an employee and the employee has a change in status from full-time to part-time or takes an extended leave of absence) after the date of grant of any stock award, the Plan Administrator, in its sole discretion, may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schedule applicable to such stock award (in accordance with Section 409A, as applicable). In the event of any such reduction, the participant will have no right with respect to any portion of the stock award that is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Nontransferability of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Recoupment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specify in an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2023 Plan, a stock award granted under the 2023 Plan shall be subject to the Company’s clawback policy as may be established and/or amended from time to time, including the Compensation Recovery Policy.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Company policy or as necessary or appropriate to comply with applicable laws. For the avoidance of doubt, each participant will be subject to compliance with applicable laws, the Company’s Code of Business Conduct and Ethics and the Company’s corporate policies, as applicable, including without limitation the Company’s Compensation Recovery Policy. Notwithstanding anything to the contrary herein, (i) compliance with applicable law, the Company’s Code of Business Conduct and Ethics and the Company’s corporate policies, as applicable, will be a pre-condition to earning, or vesting in respect of, any award under the 2023 Plan and (ii) any awards under the 2023 Plan which are subject to the Company’s Compensation Recovery Policy will not be earned or vested, even if already granted, paid or settled, until the Company’s Compensation Recovery Policy ceases to apply to such awards and any other vesting conditions applicable to such awards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stock split, reverse stock split, stock dividend, combination, consolidation, recapitalization or reclassification of the shares, subdivision of the shares, a rights offering, a reorganization, merger, spin-off, split-up, repurchase, or exchange of common stock or other securities of us or other significant corporate transaction, or other change affecting common stock occurs, the Plan Administrator, in order to prevent dilution, diminution or enlargement of the benefits or potential benefits intended to be made available under the 2023 Plan, will, in such manner as it may deem equitable, adjust the number, kind and class of securities that may be delivered under the 2023 Plan and/or the number, class, kind and price of securities covered by each outstanding stock award; provided that all such adjustment will be made in a manner that does not result in taxation under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2023 Plan), each outstanding stock award (vested or unvested) will be treated as the Plan Administrator determines, which determination may provide for one or more of the following: (a) the continuation of such outstanding stock awards (if we are the surviving corporation); (b) 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(which payment may be subject to the same conditions that apply to the consideration that will be paid to holders of shares in connection with the transaction, subject to applicable law); (d)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(e) the opportunity for participants to exercise the stock options prior to the occurrence of the corporate transaction and the termination (for no consideration) upon the consummation of such corporate transaction of any stock options not exercised prior thereto or (f) the cancellation of outstanding stock awards in exchange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award may be subject to additional acceleration of vesting and exercisability upon or after a “Change in Control” (as defined in the 2023 Plan) as may be provided in the award agreement for such stock award or as may be provided in any other written agreement between us or any affiliate and the participant, but in the absence of such provision, no such acceleration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Termination and Duration of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will continue in effect for a term of 10 years measured from the date the 2023 Plan was approved by our board of directors, unless terminated earlier under the terms of the 2023 Plan. The Plan Administrator may at any time amend, alter, suspend or terminate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Tax Aspects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a stock option or SAR will not have taxable income upon the grant of the stock option or SAR. For nonstatutory stock options and SARs, the participant will recognize ordinary income upon exercise in an amount equal to the excess of the fair market value of the shares over the exercise price—the appreciation value—on the date of exercise. Any additional gain or loss recognized upon any later disposition of the shares generally will be long-term or short-term capital gain or loss, depending on whether the shares are held for more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shares upon exercise of an incentive stock option will not result in any taxable income to the participant, except for purposes of the alternative minimum tax. Gain or loss recognized by the participant on a later sale or other disposition of the shares will be capital gain or loss and/or ordinary income depending upon whether the participant holds the shares transferred upon exercise for a specified period. If the shares are held for the specified period, any gain generally will be taxed at long-term capital-gain rates. If the shares are not held for the specified period, generally any gain up to the excess of the fair market value of the shares on the date of exercise over the exercise price will be treated as ordinary income. Any additional gain generally will be taxable at long-term or short-term capital-gain rates, depending on whether the participant held the shares for more than one year after the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restricted stock will not have taxable income until vesting unless the participant timely files an election under Section 83(b) of the Code to be taxed at the time of grant (“Section 83(b) election”). The participant will recognize ordinary income equal to the fair market value of the shares at the time of vesting less the amount paid for such shares (if any) if no such election is made. Any additional gain or loss recognized upon any later disposition of the shares generally will be long-term or short-term capital gain or loss, depending on whether the shares are held for more than one year. If a participant timely files a Section 83(b) election, the participant will recognize ordinary income equal to the fair market value of the shares at the time of purchase or grant less the amount paid for such shares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receives RSUs, performance units or performance shares will not have taxable income upon grant of the stock award; instead, the participant will be taxed upon settlement of the stock award. The participant will recognize ordinary income equal to the fair market value of the shares or the amount of cash received by the participant. In addition, Section 409A imposes certain restrictions on deferred compensation arrangements. Stock awards that are treated as deferred compensation under Section 409A are intended to meet the requirements of this section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at its discretion and pursuant to such procedures as it may specify from time to time, permit a participant to satisfy such withholding or deduction obligations or any other tax-related items, in whole or in part by (without limitation) paying cash, electing to have us withhold otherwise deliverable cash or shares or delivering to us already-owned shares; provided that, unless the Plan Administrator permits otherwise,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we deem to be reasonable and in accordance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entitled to a tax deduction in connection with a stock award under the 2023 Plan only in an amount equal to the ordinary income realized by the participant and at the time the participant recognizes the income. Section 162(m) of the Code places a limit of $1 million on the amount of compensation that we may deduct as a business expense in any year with respect to certain of our most highly paid executive officers. While the Plan Administrator considers the deductibility of compensation as one factor in determining executive compensation, the Plan Administrator retains the discretion to award and pay compensation that is not deductible as it believes that it is in the best interests of our stockholders to maintain flexibility in our approach to executive compensation and to structure a program that we consider to be the most effective in attracting, motivating and retaining key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Plan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does not provide for set benefits or amounts of awards and we have not approved any stock awards that are conditioned on stockholder approval of the 2023 Plan. We have not approved any stock awards under the 2023 Plan in connection with the Merger. All future awards to directors, executive officers, employees and consultants under the 2023 Plan are discretionary and cannot be determined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incorporation, no compensation has been earned or paid to Ian Jacobs or Mark Tompkins, who were our sole directors prior to the Merger. Serve became our wholly-owned subsidiary upon the closing of the Merger on July 31, 2023. In connection with the closing of the Merger, Messrs. Jacobs and Tompkins resigned from our Board, and the current members were appointed to our Board, effective as of July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we adopted our Outside Director Compensation Policy (the “Director Compensation Policy”), effective as of January 1, 2024, pursuant to which we pay each non-employee director annual cash retainers and equity awards, as further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Director Compensation Policy, each non-employee director is entitled to receive an annual cash retainer for service on our board of directors and an additional annual cash retainer for service on each committee on which the non-employee director is a member. All annual cash retainers are paid quarterly in arrears. In addition, James Buckly Jordan, Ali Pourdad and Olivier Vincent will each receive an initial cash compensation in the amount of $11,250, payable on March 31, 2024. No compensation has previously been paid to our 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paid to non-employee directors for service on our board of directors and for service on each committee of our board of directors of which the non-employee director is a member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Board Member Service Retainer</w:t>
      </w:r>
    </w:p>
    <w:p>
      <w:pPr>
        <w:pStyle w:val="TextBody"/>
        <w:bidi w:val="0"/>
        <w:spacing w:before="0" w:after="0"/>
        <w:ind w:left="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170"/>
        <w:gridCol w:w="3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non-employee directors: $20,000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Committee Member Service Retainer</w:t>
      </w:r>
    </w:p>
    <w:p>
      <w:pPr>
        <w:pStyle w:val="TextBody"/>
        <w:bidi w:val="0"/>
        <w:spacing w:before="0" w:after="0"/>
        <w:ind w:left="0" w:right="0" w:hanging="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Audit Committee: $5,000</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170"/>
        <w:gridCol w:w="4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Committee: $5,000</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Nominating and Corporate Governance Committee: $5,000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Policy provides that at each annual stockholder meeting following a non-employee director’s appointment to our board of directors and subject to such non-employee director’s service on our board of directors since December 31st of the calendar year prior to such annual meeting, each non-employee director will be granted an option to purchase 20,000 shares of our common stock under the 2023 Plan, which will vest in full upon the earlier of the first anniversary of the date of grant or the next annual stockholder meeting, prorated for partial quarters of service (including the initial quarter of service), subject to the applicable non-employee director’s continuous service through the applicable vesting date; provided that if we do not have an effective Form S-8 registration statement on file with the SEC with sufficient shares available to cover the applicable equity award as of the date such award is granted (an “Effective S-8”), the grant of such equity award shall be delayed until such time there is an Effective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for each non-employee director who remains in continuous service as a member of our Board until immediately prior to the consummation of a change in control, any unvested portion of an equity award granted in consideration of such non-employee director’s service as a member of our Board will vest in full immediately prior to, and contingent upon, the consummation of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Compensation Policy further provides that upon consummation of our initial public offering and listing of our common stock on Nasdaq or the NYSE, each non-employee director would be granted an option to purchase 20,000 shares of common stock under the 2023 Plan (each, an “Initial Equity Grant”). Each Initial Grant shall vest in full on the one-year anniversary of the date of grant, subject to the applicable non-employee director’s continued service as a member of our board of directors through such date; provided that if we do not have an Effective S-8, the grant of such equity award shall be delayed until such time as there is an Effective S-8. Our Board will have discretion to grant additional equity awards to certain non-employee directors for services that exceed the expectations for a non-employee director or for other circumstances determined to be appropriate by our Board. We also reimburse our directors for their reasonable out-of-pocket expenses in connection with attending meetings of our Board and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3" w:name="a_012"/>
      <w:bookmarkEnd w:id="13"/>
      <w:r>
        <w:rPr>
          <w:rFonts w:ascii="Times New Roman;Times;Serif" w:hAnsi="Times New Roman;Times;Serif"/>
          <w:b/>
          <w:i w:val="false"/>
          <w:smallCaps/>
          <w:sz w:val="20"/>
        </w:rPr>
        <w:t>CERTAIN RELATIONSHIPS AND RELATED PARTY TRANSACTIONS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we describe transactions since January 1, 2022, in which the amounts involved exceeded or will exceed the lesser of (i) $120,000 and (ii) 1% of the average total assets of the Company at year end for the last two completed fiscal years, between the Company and any of our directors, executive officers, or beneficial holders of more than 5% of the Company’s capital stock. Other than as described below, there have not been transactions to which we have been a party other than compensation arrangements, which are described under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The following description is historical and has not been adjusted to give effect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Subordinated Promissory Note with Ali Kashani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Serve issued a Secured Subordinated Promissory Note (the “December 2023 Kashani Note”) to Dr. Ali Kashani, a holder of greater than 5% of the capital stock of Serve who serves as Chief Executive Officer and is a member of the Serve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Serve issued a Secured Subordinated Promissory Note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(the “Kashani Exit Fee”).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Uber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prospectus, Serve is a spin-off of Uber. Serve was initially formed in 2017 as the X division of Postmates, which was acquired by Uber in 2020. Uber held greater than 5% of Serve’s pre-Merger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2024, we issued a convertible promissory note (the “Postmates Convertible Promissory Note”) to Postmates. The Postmates Convertible Promissory Note bears interest at a rate of 6.00% per year, compounded annually, and is due and payable upon request by Postmates on or after the 12-month anniversary of the original issuance date of the Postmates Convertible Promissory Note. We may not prepay or repay the Postmates Convertible Promissory Note in cash without Postmates’ consent. The aggregate gross proceeds from the issuance of the Postmates Convertible Promissory Note were $500,000.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Postmates Convertible Promissory Note was exempt from registration under Section 4(a)(2) of the Securities Act and Rule 506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Master Framework Agreement and Project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Uber and the Company entered into the Master Framework Agreement, effective September 3, 2021 which was amended by Amendment No. 1 to the Master Framework Agreement, dated June 7, 2022, Amendment No. 2 to the Master Framework Agreement, dated January 12, 2023 and Amendment No. 3 to the Master Framework Agreement, dated September 6, 2023 (as amended, the “Master Framework Agreement”). The term of the Master Framework Agreement has been extended twice and is currently effective until February 24, 2027 and automatically renews for one-year periods unless terminated. Pursuant to the Master Framework Agreement, the Company agreed to provide delivery robots for Uber deliveries and Uber to pay delivery fees based on the services provided by the delivery robots. In addition, among other things, under the Master Framework Agreement, the Company is obligated to obtain and maintain the necessary regulatory approvals and licenses and certain types and levels of insurance for the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Uber entered into separate project plans on February 3, 2022 (“Project Plan #1”) and May 26, 2022 (“Project Plan #2” and together with Project Plan #1, the “Project Plans”) for deployment of the Company’s robots to perform concurrent deliveries on Uber’s platform. Under Project Plan #1, Uber and the Company worked together to onboard 10 robots to perform concurrent deliveries on Uber’s platform in a mutually agreed upon operating area in Los Angeles, California. Entering into Project Plan #2 signified satisfactory completion of Project Plan #1. Under Project Plan #2, Uber and the Company are working together to deploy up to 2,000 robots on Uber’s platform in multiple cities in the U.S. Each of these Project Plans is governed by the terms of the Master Framework Agreement. Pursuant to the Project Plans, the Company and Uber have agreed to meet monthly to discuss completion dates and key milestones for the Master Framework Agreement and to establish operating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Master Framework Agreement provides for certain negotiated indemnification terms, including indemnification by the Company for damages resulting from third-party intellectual property rights claims. The Project Plans require the Company to maintain commercial insurance during the term of the Project Plans, including for general liability, auto liability and workers’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Wavemaker –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2022, the Company and Wavemaker Pacific 4, L.P. entered into a SAFE along with a side letter to the SAFE dated as of December 15, 2022 (the “Wavemaker Side Letter”). Wavemaker Pacific 4, L.P. holds greater than 5% of Serve’s pre-Merger capital stock. Pursuant to the Wavemaker Side Letter, Wavemaker Pacific 4, L.P. is granted preemptive rights to purchase preferred stock sold in an equity financing, among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 2.0 LP –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2022, the Company, NEO 2.0, L.P. (“NEO 2.0”) and NEO 2.0a, L.P. (“NEO 2.0a,” and together with NEO 2.0, the “NEO Entities”) entered into a SAFE along with a side letter dated as of December 5, 2022 (the “NEO Entities Side Letter”). The NEO Entities own greater than 5% of Serve’s pre-Merger capital stock. Pursuant to the NEO Entities Side Letter, the NEO entities are granted preemptive rights to purchase preferred stock sold in an equity financing, among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NVIDIA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2024, we issued a convertible promissory note (“the NVIDIA Convertible Promissory Note”) to NVIDIA. The NVIDIA Convertible Promissory Note bears interest at a rate of 6.00% per year, compounded annually, and are due and payable upon request by NVIDIA on or after the 12-month anniversary of the original issuance date of the NVIDIA Convertible Promissory Note. We may not prepay or repay the NVIDIA Convertible Promissory Note in cash without NVIDIA’s consent. The aggregate gross proceeds from the issuance of the NVIDIA Convertible Promissory Note were $2,500,000.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Collaboration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2022, the Company and NVIDIA entered into a business collaboration agreement (the “Business Collaboration Agreement”) pursuant to which the Company and NVIDIA agreed to collaborate on the potential integration of NVIDIA’s AI capabilities into the Company’s robots,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NVIDIA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2022, the Company and NVIDIA entered into a side letter (the “NVIDIA Side Letter”) pursuant to which the Company granted NVIDIA contractual management rights including inspection rights and a right of first refusal,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4, 2022 and March 9, 2022, Serve issued SAFEs for an aggregate purchase amount of $10.59 million to investors of Serve (the “February 2022 SAFEs”). Between December 1, 2022 and January 18, 2023, Serve issued SAFEs for an aggregate purchase amount of $4.97 million to investors of Serve (the “December 2022 SAFEs” and, together with the February 2022 SAFEs, the “2022 SAFEs”). The following table summarizes the purchase of 2022 SAFEs by related persons:</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2360"/>
        <w:gridCol w:w="60"/>
        <w:gridCol w:w="160"/>
        <w:gridCol w:w="1120"/>
        <w:gridCol w:w="75"/>
      </w:tblGrid>
      <w:tr>
        <w:trPr/>
        <w:tc>
          <w:tcPr>
            <w:tcW w:w="2360" w:type="dxa"/>
            <w:tcBorders>
              <w:bottom w:val="single" w:sz="12" w:space="0" w:color="000000"/>
            </w:tcBorders>
            <w:vAlign w:val="center"/>
          </w:tcPr>
          <w:p>
            <w:pPr>
              <w:pStyle w:val="TableContents"/>
              <w:bidi w:val="0"/>
              <w:spacing w:before="0" w:after="283"/>
              <w:jc w:val="left"/>
              <w:rPr>
                <w:b/>
              </w:rPr>
            </w:pPr>
            <w:r>
              <w:rPr>
                <w:b/>
              </w:rPr>
              <w:t>Purchaser</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Aggregate</w:t>
              <w:br/>
              <w:t xml:space="preserve">Purchase </w:t>
              <w:br/>
              <w:t xml:space="preserve">Price for </w:t>
              <w:br/>
              <w:t>2022 SAFEs</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 L.P.</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120" w:type="dxa"/>
            <w:tcBorders/>
            <w:shd w:fill="CCEEFF" w:val="clear"/>
            <w:tcMar>
              <w:bottom w:w="0" w:type="dxa"/>
            </w:tcMar>
            <w:vAlign w:val="center"/>
          </w:tcPr>
          <w:p>
            <w:pPr>
              <w:pStyle w:val="TableContents"/>
              <w:bidi w:val="0"/>
              <w:spacing w:before="0" w:after="283"/>
              <w:jc w:val="right"/>
              <w:rPr/>
            </w:pPr>
            <w:r>
              <w:rPr/>
              <w:t>987,483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2.0a, L.P.</w:t>
            </w:r>
            <w:r>
              <w:rPr>
                <w:rFonts w:ascii="Times New Roman;Times;Serif" w:hAnsi="Times New Roman;Times;Serif"/>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right"/>
              <w:rPr/>
            </w:pPr>
            <w:r>
              <w:rPr/>
              <w:t>12,517</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pPr>
            <w:r>
              <w:rPr/>
              <w:t>NVIDIA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120" w:type="dxa"/>
            <w:tcBorders/>
            <w:shd w:fill="CCEEFF" w:val="clear"/>
            <w:tcMar>
              <w:bottom w:w="0" w:type="dxa"/>
            </w:tcMar>
            <w:vAlign w:val="center"/>
          </w:tcPr>
          <w:p>
            <w:pPr>
              <w:pStyle w:val="TableContents"/>
              <w:bidi w:val="0"/>
              <w:spacing w:before="0" w:after="283"/>
              <w:jc w:val="right"/>
              <w:rPr/>
            </w:pPr>
            <w:r>
              <w:rPr/>
              <w:t>9,000,000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Postmates, LLC</w:t>
            </w:r>
            <w:r>
              <w:rPr>
                <w:rFonts w:ascii="Times New Roman;Times;Serif" w:hAnsi="Times New Roman;Times;Serif"/>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right"/>
              <w:rPr/>
            </w:pPr>
            <w:r>
              <w:rPr/>
              <w:t>2,000,000</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Wavemaker Pacific 4, L.P.</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w:t>
            </w:r>
          </w:p>
        </w:tc>
        <w:tc>
          <w:tcPr>
            <w:tcW w:w="1120" w:type="dxa"/>
            <w:tcBorders/>
            <w:shd w:fill="CCEEFF" w:val="clear"/>
            <w:tcMar>
              <w:bottom w:w="0" w:type="dxa"/>
            </w:tcMar>
            <w:vAlign w:val="center"/>
          </w:tcPr>
          <w:p>
            <w:pPr>
              <w:pStyle w:val="TableContents"/>
              <w:bidi w:val="0"/>
              <w:spacing w:before="0" w:after="283"/>
              <w:jc w:val="right"/>
              <w:rPr/>
            </w:pPr>
            <w:r>
              <w:rPr/>
              <w:t>1,000,000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283"/>
              <w:jc w:val="both"/>
              <w:rPr/>
            </w:pPr>
            <w:r>
              <w:rPr/>
              <w:t>The general partner of each of NEO 2.0., L.P. and NEO 2.0a, L.P. is NEO GP. NEO GP and its affiliates hold greater than 5% of the pre-Merger capital stock of Serve.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Postmates, LLC is a wholly-owned subsidiary of Uber, which holds greater than 5% of the pre-Merger capital stock of Serve. Sarfraz Maredia is Vice President,  Head of Delivery, Americas at Uber and serves as a member of the Serve 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50"/>
        <w:gridCol w:w="9810"/>
      </w:tblGrid>
      <w:tr>
        <w:trPr/>
        <w:tc>
          <w:tcPr>
            <w:tcW w:w="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(3)</w:t>
            </w:r>
          </w:p>
        </w:tc>
        <w:tc>
          <w:tcPr>
            <w:tcW w:w="9810" w:type="dxa"/>
            <w:tcBorders/>
            <w:vAlign w:val="center"/>
          </w:tcPr>
          <w:p>
            <w:pPr>
              <w:pStyle w:val="TableContents"/>
              <w:bidi w:val="0"/>
              <w:spacing w:before="0" w:after="283"/>
              <w:jc w:val="both"/>
              <w:rPr/>
            </w:pPr>
            <w:r>
              <w:rPr/>
              <w:t>Wavemaker Pacific 4, L.P. holds greater than 5% of Serve’s pre-Merger capital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set forth above under the caption “</w:t>
      </w:r>
      <w:r>
        <w:rPr>
          <w:rFonts w:ascii="Times New Roman;Times;Serif" w:hAnsi="Times New Roman;Times;Serif"/>
          <w:b w:val="false"/>
          <w:i/>
          <w:caps w:val="false"/>
          <w:smallCaps w:val="false"/>
          <w:sz w:val="20"/>
        </w:rPr>
        <w:t>Description of the Merger, the Private Placement, and Related Transactions—Registration Rights</w:t>
      </w:r>
      <w:r>
        <w:rPr>
          <w:rFonts w:ascii="Times New Roman;Times;Serif" w:hAnsi="Times New Roman;Times;Serif"/>
          <w:b w:val="false"/>
          <w:i w:val="false"/>
          <w:caps w:val="false"/>
          <w:smallCaps w:val="false"/>
          <w:sz w:val="20"/>
        </w:rPr>
        <w:t>” is incorporated herein by reference. All of our directors, executive officers and holders of more than 5% of our capital stock are parties to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in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existing investors, including investors affiliated with certain of our directors and officers, have purchased an aggregate of 1,258,221 shares of our common stock in the Private Placement, for an aggregate gross purchase price of $5.01 million. Such purchases were made on the same terms as the shares that were sold to other investors in the Private Placement and not pursuant to any pre-existing contractual rights or obligations. Each of NVIDIA and Postmates, LLC, who hold more than 5% of our capital stock, and Olivier Vincent and Ali Kashani participated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stock options to our executive officers and our directors. For a description of these stock options, see the section 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indemnification agreements with each of our current directors and executive officers. The indemnification agreements and our amended and restated bylaws require us to indemnify our directors to the fullest extent not prohibited by DGCL. Subject to very limited exceptions, our amended and restated bylaws also require us to advance expenses incurred by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existing stockholders and their affiliates have indicated an interest in purchasing shares of our common stock in this offering with an aggregate value of approximately $4.5 million at the assumed public offering price. However, because indications of interest are not binding agreements or commitments to purchase, the underwriter may determine to sell more, fewer or no shares in this offering to any of these parties, or any of these parties may determine to purchase more, fewer or no shares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 formal review and approval policy for related party transactions at the time of any of the transactions described above. However, all of the transactions described above were entered into after presentation, consideration and approval by our board of directors. Subsequently, our audit committee adopted a charter which requires the audit committee to conduct appropriate review and oversight of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4" w:name="a_013"/>
      <w:bookmarkEnd w:id="14"/>
      <w:r>
        <w:rPr>
          <w:rFonts w:ascii="Times New Roman;Times;Serif" w:hAnsi="Times New Roman;Times;Serif"/>
          <w:b/>
          <w:i w:val="false"/>
          <w:smallCaps/>
          <w:sz w:val="20"/>
        </w:rPr>
        <w:t>USE OF PROCEEDS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receive net proceeds from the sale of the shares of common stock that we are offering of approximately $35.7 million (or approximately $41.3 million if the underwriter exercises its option to purchase additional shares in full) based upon the assumed public offering price of $4.50 per share (the closing price of our common stock on April 5, 2024 on the OTCQB), after deducting the estimated underwriting discounts and commissions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$1.00 increase or decrease in the assumed public offering price of $4.50 per share (the closing price of our common stock on April 5, 2024 on the OTCQB), would increase or decrease the net proceeds to us from this offering by approximately $8.3 million, assuming the number of shares offered by us, as set forth on the cover page of this prospectus, remains the same, and after deducting estimated underwriting discounts and commissions. Similarly, each increase or decrease of 1.0 million shares in the number of shares of common stock offered by us would increase or decrease the net proceeds to us from this offering by approximately $4.2 million, based upon the assumed public offering price of $4.50 per share (the closing price of our common stock on April 5, 2024 on the OTCQB), and after deducting estimated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purposes of this offering are to increase our financial flexibility, create a public market for our common stock and facilitate our future access to capital markets. We currently intend to use approximately $35.0 million  of the net proceeds from this offering, together with our existing cash, cash equivalents and marketable securities, to fund the research and development of the next generations of our robots, including certain manufacturing activities and the planned geographic expansion of our fleet into new areas, and the remainder, if any,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expected use of the net proceeds from this offering represents our intentions based upon our current plans and business conditions, which could change in the future as our plans and business conditions evolve. We cannot predict with certainty all of the particular uses for the net proceeds to be received upon the closing of this offering or the amounts that we will actually spend on the uses set forth above. The amounts and timing of our actual expenditures and the extent of product and manufacturing development may vary significantly depending on numerous factors, including the progress of our development, supply chain conditions, manufacturing capacity or geographic expansion speed in the future, as well as any collaborations that we may enter into with third parties for fleet deployment or strategic opportunities that become available to us, and any unforeseen cash needs. As a result, our management will retain broad discretion over the allocation of the net proceeds from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plans, we believe our existing cash, together with the net proceeds from this offering, will be sufficient to fund our operations and capital expenditure requirements through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use a portion of the net proceeds to acquire complementary businesses, products, services or technologies. However, we do not have agreements or commitments to enter into any acquisitions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invest the net proceeds to us from this offering that are not used as described above in a variety of capital preservation instruments, including short-term, investment-grade, interest-bearing instruments and U.S. government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5" w:name="a_014"/>
      <w:bookmarkEnd w:id="15"/>
      <w:r>
        <w:rPr>
          <w:rFonts w:ascii="Times New Roman;Times;Serif" w:hAnsi="Times New Roman;Times;Serif"/>
          <w:b/>
          <w:i w:val="false"/>
          <w:smallCaps/>
          <w:sz w:val="20"/>
        </w:rPr>
        <w:t>DIVIDEND POLICY</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of directors and will be dependent upon financial condition, results of operations, capital requirements and such other factors as the board of directors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6" w:name="a_015"/>
      <w:bookmarkEnd w:id="16"/>
      <w:r>
        <w:rPr>
          <w:rFonts w:ascii="Times New Roman;Times;Serif" w:hAnsi="Times New Roman;Times;Serif"/>
          <w:b/>
          <w:i w:val="false"/>
          <w:smallCaps/>
          <w:sz w:val="20"/>
        </w:rPr>
        <w:t>CAPITALIZATION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our capitalization as of December 31, 2023, 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040"/>
        <w:gridCol w:w="8933"/>
      </w:tblGrid>
      <w:tr>
        <w:trPr/>
        <w:tc>
          <w:tcPr>
            <w:tcW w:w="2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pPr>
            <w:r>
              <w:rPr/>
              <w:t>●</w:t>
            </w:r>
          </w:p>
        </w:tc>
        <w:tc>
          <w:tcPr>
            <w:tcW w:w="8933" w:type="dxa"/>
            <w:tcBorders/>
            <w:vAlign w:val="center"/>
          </w:tcPr>
          <w:p>
            <w:pPr>
              <w:pStyle w:val="TableContents"/>
              <w:bidi w:val="0"/>
              <w:spacing w:before="0" w:after="283"/>
              <w:jc w:val="both"/>
              <w:rPr/>
            </w:pPr>
            <w:r>
              <w:rPr/>
              <w:t>an actual basis;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 forma basis, giving effect to (i) the settlement of our convertible promissory notes in the aggregate principal amount of $5.0 million into 2,099,490 shares of our common stock (based on a conversion price of $2.42 per share (calculated based upon the assumed public offering price of $4.50 per share (the closing price of our common stock on April 5, 2024 on the OTCQB)) and (ii) the cashless exercise of the Wavemaker Warrants into 17,462 shares of common stock (based upon the assumed public offering price of $4.50 per share (the closing price of our common stock on April 5, 2024 on the OTCQB);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 forma as adjusted basis to give further effect to (i) the pro forma adjustments set forth above and (ii) the issuance and sale of 8,888,889 shares of common stock in this offering, based upon the receipt by us of the estimated net proceeds from this offering at the assumed public offering price of $4.50 per share (the closing price of our common stock on April 5, 2024 on the OTCQB), after deducting the estimated underwriting discounts and commissions and estimated offering expenses payable by 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information set forth below is illustrative only, and our capitalization following the closing of this offering will be adjusted based on the actual public offering price and other terms of this offering determined at pricing. This table should be read in conjunction with the information contained in this prospectus, including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our consolidated financial statements and the related notes thereto appearing elsewhere in this prospectus.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08"/>
        <w:gridCol w:w="60"/>
        <w:gridCol w:w="140"/>
        <w:gridCol w:w="1175"/>
        <w:gridCol w:w="95"/>
        <w:gridCol w:w="60"/>
        <w:gridCol w:w="140"/>
        <w:gridCol w:w="1175"/>
        <w:gridCol w:w="155"/>
        <w:gridCol w:w="60"/>
        <w:gridCol w:w="149"/>
        <w:gridCol w:w="1307"/>
        <w:gridCol w:w="81"/>
      </w:tblGrid>
      <w:tr>
        <w:trPr/>
        <w:tc>
          <w:tcPr>
            <w:tcW w:w="5608" w:type="dxa"/>
            <w:tcBorders>
              <w:bottom w:val="single" w:sz="12" w:space="0" w:color="000000"/>
            </w:tcBorders>
            <w:vAlign w:val="center"/>
          </w:tcPr>
          <w:p>
            <w:pPr>
              <w:pStyle w:val="TableContents"/>
              <w:bidi w:val="0"/>
              <w:spacing w:before="0" w:after="283"/>
              <w:ind w:left="0" w:right="0" w:hanging="180"/>
              <w:jc w:val="left"/>
              <w:rPr>
                <w:b/>
              </w:rPr>
            </w:pPr>
            <w:r>
              <w:rPr>
                <w:b/>
              </w:rPr>
              <w:t>As of December 31, 2023</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283"/>
              <w:jc w:val="center"/>
              <w:rPr>
                <w:b/>
              </w:rPr>
            </w:pPr>
            <w:r>
              <w:rPr>
                <w:b/>
              </w:rPr>
              <w:t>Actual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12" w:space="0" w:color="000000"/>
            </w:tcBorders>
            <w:vAlign w:val="center"/>
          </w:tcPr>
          <w:p>
            <w:pPr>
              <w:pStyle w:val="TableContents"/>
              <w:bidi w:val="0"/>
              <w:spacing w:before="0" w:after="283"/>
              <w:jc w:val="center"/>
              <w:rPr>
                <w:b/>
              </w:rPr>
            </w:pPr>
            <w:r>
              <w:rPr>
                <w:b/>
              </w:rPr>
              <w:t>Pro forma</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6" w:type="dxa"/>
            <w:gridSpan w:val="2"/>
            <w:tcBorders>
              <w:bottom w:val="single" w:sz="12" w:space="0" w:color="000000"/>
            </w:tcBorders>
            <w:vAlign w:val="center"/>
          </w:tcPr>
          <w:p>
            <w:pPr>
              <w:pStyle w:val="TableContents"/>
              <w:bidi w:val="0"/>
              <w:spacing w:before="0" w:after="283"/>
              <w:jc w:val="center"/>
              <w:rPr>
                <w:b/>
              </w:rPr>
            </w:pPr>
            <w:r>
              <w:rPr>
                <w:b/>
              </w:rPr>
              <w:t>Pro forma as adjusted</w:t>
            </w:r>
          </w:p>
        </w:tc>
        <w:tc>
          <w:tcPr>
            <w:tcW w:w="81" w:type="dxa"/>
            <w:tcBorders/>
            <w:tcMar>
              <w:bottom w:w="0" w:type="dxa"/>
            </w:tcMar>
            <w:vAlign w:val="center"/>
          </w:tcPr>
          <w:p>
            <w:pPr>
              <w:pStyle w:val="TableContents"/>
              <w:bidi w:val="0"/>
              <w:spacing w:before="0" w:after="283"/>
              <w:ind w:left="0" w:right="0" w:hanging="180"/>
              <w:jc w:val="left"/>
              <w:rPr/>
            </w:pPr>
            <w:r>
              <w:rPr/>
              <w:t> </w:t>
            </w:r>
          </w:p>
        </w:tc>
      </w:tr>
      <w:tr>
        <w:trPr/>
        <w:tc>
          <w:tcPr>
            <w:tcW w:w="5608"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175" w:type="dxa"/>
            <w:tcBorders>
              <w:bottom w:val="double" w:sz="10" w:space="0" w:color="000000"/>
            </w:tcBorders>
            <w:shd w:fill="CCEEFF" w:val="clear"/>
            <w:vAlign w:val="center"/>
          </w:tcPr>
          <w:p>
            <w:pPr>
              <w:pStyle w:val="TableContents"/>
              <w:bidi w:val="0"/>
              <w:spacing w:before="0" w:after="283"/>
              <w:jc w:val="right"/>
              <w:rPr/>
            </w:pPr>
            <w:r>
              <w:rPr/>
              <w:t>6,756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175" w:type="dxa"/>
            <w:tcBorders>
              <w:bottom w:val="double" w:sz="10" w:space="0" w:color="000000"/>
            </w:tcBorders>
            <w:shd w:fill="CCEEFF" w:val="clear"/>
            <w:vAlign w:val="center"/>
          </w:tcPr>
          <w:p>
            <w:pPr>
              <w:pStyle w:val="TableContents"/>
              <w:bidi w:val="0"/>
              <w:spacing w:before="0" w:after="283"/>
              <w:jc w:val="right"/>
              <w:rPr/>
            </w:pPr>
            <w:r>
              <w:rPr/>
              <w:t>5,096,923</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double" w:sz="10" w:space="0" w:color="000000"/>
            </w:tcBorders>
            <w:shd w:fill="CCEEFF" w:val="clear"/>
            <w:vAlign w:val="center"/>
          </w:tcPr>
          <w:p>
            <w:pPr>
              <w:pStyle w:val="TableContents"/>
              <w:bidi w:val="0"/>
              <w:spacing w:before="0" w:after="283"/>
              <w:jc w:val="left"/>
              <w:rPr/>
            </w:pPr>
            <w:r>
              <w:rPr/>
              <w:t>$</w:t>
            </w:r>
          </w:p>
        </w:tc>
        <w:tc>
          <w:tcPr>
            <w:tcW w:w="1307" w:type="dxa"/>
            <w:tcBorders>
              <w:bottom w:val="double" w:sz="10" w:space="0" w:color="000000"/>
            </w:tcBorders>
            <w:shd w:fill="CCEEFF" w:val="clear"/>
            <w:vAlign w:val="center"/>
          </w:tcPr>
          <w:p>
            <w:pPr>
              <w:pStyle w:val="TableContents"/>
              <w:bidi w:val="0"/>
              <w:spacing w:before="0" w:after="283"/>
              <w:jc w:val="right"/>
              <w:rPr/>
            </w:pPr>
            <w:r>
              <w:rPr/>
              <w:t>40,839,266</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08" w:type="dxa"/>
            <w:tcBorders/>
            <w:tcMar>
              <w:bottom w:w="0" w:type="dxa"/>
            </w:tcMar>
            <w:vAlign w:val="center"/>
          </w:tcPr>
          <w:p>
            <w:pPr>
              <w:pStyle w:val="TableContents"/>
              <w:bidi w:val="0"/>
              <w:spacing w:before="0" w:after="283"/>
              <w:jc w:val="left"/>
              <w:rPr/>
            </w:pPr>
            <w:r>
              <w:rPr/>
              <w:t>Note payable</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1,230,933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1,230,933</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307" w:type="dxa"/>
            <w:tcBorders/>
            <w:tcMar>
              <w:bottom w:w="0" w:type="dxa"/>
            </w:tcMar>
            <w:vAlign w:val="center"/>
          </w:tcPr>
          <w:p>
            <w:pPr>
              <w:pStyle w:val="TableContents"/>
              <w:bidi w:val="0"/>
              <w:spacing w:before="0" w:after="283"/>
              <w:jc w:val="right"/>
              <w:rPr/>
            </w:pPr>
            <w:r>
              <w:rPr/>
              <w:t>1,230,933</w:t>
            </w:r>
          </w:p>
        </w:tc>
        <w:tc>
          <w:tcPr>
            <w:tcW w:w="81" w:type="dxa"/>
            <w:tcBorders/>
            <w:tcMar>
              <w:bottom w:w="0" w:type="dxa"/>
            </w:tcMar>
            <w:vAlign w:val="center"/>
          </w:tcPr>
          <w:p>
            <w:pPr>
              <w:pStyle w:val="TableContents"/>
              <w:bidi w:val="0"/>
              <w:spacing w:before="0" w:after="283"/>
              <w:ind w:left="0" w:right="0" w:hanging="180"/>
              <w:jc w:val="left"/>
              <w:rPr/>
            </w:pPr>
            <w:r>
              <w:rPr/>
              <w:t> </w:t>
            </w:r>
          </w:p>
        </w:tc>
      </w:tr>
      <w:tr>
        <w:trPr/>
        <w:tc>
          <w:tcPr>
            <w:tcW w:w="5608" w:type="dxa"/>
            <w:tcBorders/>
            <w:shd w:fill="CCEEFF" w:val="clear"/>
            <w:tcMar>
              <w:bottom w:w="0" w:type="dxa"/>
            </w:tcMar>
            <w:vAlign w:val="center"/>
          </w:tcPr>
          <w:p>
            <w:pPr>
              <w:pStyle w:val="TableContents"/>
              <w:bidi w:val="0"/>
              <w:spacing w:before="0" w:after="283"/>
              <w:jc w:val="left"/>
              <w:rPr/>
            </w:pPr>
            <w:r>
              <w:rPr/>
              <w:t>Convertible note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307"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08" w:type="dxa"/>
            <w:tcBorders/>
            <w:tcMar>
              <w:bottom w:w="0" w:type="dxa"/>
            </w:tcMar>
            <w:vAlign w:val="center"/>
          </w:tcPr>
          <w:p>
            <w:pPr>
              <w:pStyle w:val="TableContents"/>
              <w:bidi w:val="0"/>
              <w:spacing w:before="0" w:after="283"/>
              <w:jc w:val="left"/>
              <w:rPr/>
            </w:pPr>
            <w:r>
              <w:rPr/>
              <w:t>Total liabilities</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1,230,933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1,230,933</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307" w:type="dxa"/>
            <w:tcBorders/>
            <w:tcMar>
              <w:bottom w:w="0" w:type="dxa"/>
            </w:tcMar>
            <w:vAlign w:val="center"/>
          </w:tcPr>
          <w:p>
            <w:pPr>
              <w:pStyle w:val="TableContents"/>
              <w:bidi w:val="0"/>
              <w:spacing w:before="0" w:after="283"/>
              <w:jc w:val="right"/>
              <w:rPr/>
            </w:pPr>
            <w:r>
              <w:rPr/>
              <w:t>1,230,933</w:t>
            </w:r>
          </w:p>
        </w:tc>
        <w:tc>
          <w:tcPr>
            <w:tcW w:w="81" w:type="dxa"/>
            <w:tcBorders/>
            <w:tcMar>
              <w:bottom w:w="0" w:type="dxa"/>
            </w:tcMar>
            <w:vAlign w:val="center"/>
          </w:tcPr>
          <w:p>
            <w:pPr>
              <w:pStyle w:val="TableContents"/>
              <w:bidi w:val="0"/>
              <w:spacing w:before="0" w:after="283"/>
              <w:ind w:left="0" w:right="0" w:hanging="180"/>
              <w:jc w:val="left"/>
              <w:rPr/>
            </w:pPr>
            <w:r>
              <w:rPr/>
              <w:t> </w:t>
            </w:r>
          </w:p>
        </w:tc>
      </w:tr>
      <w:tr>
        <w:trPr/>
        <w:tc>
          <w:tcPr>
            <w:tcW w:w="5608" w:type="dxa"/>
            <w:tcBorders/>
            <w:shd w:fill="CCEEFF" w:val="clear"/>
            <w:tcMar>
              <w:bottom w:w="0" w:type="dxa"/>
            </w:tcMar>
            <w:vAlign w:val="center"/>
          </w:tcPr>
          <w:p>
            <w:pPr>
              <w:pStyle w:val="TableContents"/>
              <w:bidi w:val="0"/>
              <w:spacing w:before="0" w:after="283"/>
              <w:jc w:val="left"/>
              <w:rPr/>
            </w:pPr>
            <w:r>
              <w:rPr/>
              <w:t>Stockholders’ equity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307"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08" w:type="dxa"/>
            <w:tcBorders/>
            <w:tcMar>
              <w:bottom w:w="0" w:type="dxa"/>
            </w:tcMar>
            <w:vAlign w:val="center"/>
          </w:tcPr>
          <w:p>
            <w:pPr>
              <w:pStyle w:val="TableContents"/>
              <w:bidi w:val="0"/>
              <w:spacing w:before="0" w:after="283"/>
              <w:jc w:val="left"/>
              <w:rPr/>
            </w:pPr>
            <w:r>
              <w:rPr/>
              <w:t>Common stock, $0.0001 par value; 300,000,000 shares authorized, 24,832,814 shares issued and outstanding, actual; 300,000,000 shares authorized, 27,074,766 shares issued and outstanding, pro forma; 300,000,000 shares authorized, 35,963,655 shares issued and outstanding, pro forma as adjusted;</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2,450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2,694</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307" w:type="dxa"/>
            <w:tcBorders/>
            <w:tcMar>
              <w:bottom w:w="0" w:type="dxa"/>
            </w:tcMar>
            <w:vAlign w:val="center"/>
          </w:tcPr>
          <w:p>
            <w:pPr>
              <w:pStyle w:val="TableContents"/>
              <w:bidi w:val="0"/>
              <w:spacing w:before="0" w:after="283"/>
              <w:jc w:val="right"/>
              <w:rPr/>
            </w:pPr>
            <w:r>
              <w:rPr/>
              <w:t>3,582</w:t>
            </w:r>
          </w:p>
        </w:tc>
        <w:tc>
          <w:tcPr>
            <w:tcW w:w="81" w:type="dxa"/>
            <w:tcBorders/>
            <w:tcMar>
              <w:bottom w:w="0" w:type="dxa"/>
            </w:tcMar>
            <w:vAlign w:val="center"/>
          </w:tcPr>
          <w:p>
            <w:pPr>
              <w:pStyle w:val="TableContents"/>
              <w:bidi w:val="0"/>
              <w:spacing w:before="0" w:after="283"/>
              <w:ind w:left="0" w:right="0" w:hanging="180"/>
              <w:jc w:val="left"/>
              <w:rPr/>
            </w:pPr>
            <w:r>
              <w:rPr/>
              <w:t> </w:t>
            </w:r>
          </w:p>
        </w:tc>
      </w:tr>
      <w:tr>
        <w:trPr/>
        <w:tc>
          <w:tcPr>
            <w:tcW w:w="5608" w:type="dxa"/>
            <w:tcBorders/>
            <w:shd w:fill="CCEEFF" w:val="clear"/>
            <w:tcMar>
              <w:bottom w:w="0" w:type="dxa"/>
            </w:tcMar>
            <w:vAlign w:val="center"/>
          </w:tcPr>
          <w:p>
            <w:pPr>
              <w:pStyle w:val="TableContents"/>
              <w:bidi w:val="0"/>
              <w:spacing w:before="0" w:after="283"/>
              <w:jc w:val="left"/>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64,468,141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69,558,308</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307" w:type="dxa"/>
            <w:tcBorders/>
            <w:shd w:fill="CCEEFF" w:val="clear"/>
            <w:tcMar>
              <w:bottom w:w="0" w:type="dxa"/>
            </w:tcMar>
            <w:vAlign w:val="center"/>
          </w:tcPr>
          <w:p>
            <w:pPr>
              <w:pStyle w:val="TableContents"/>
              <w:bidi w:val="0"/>
              <w:spacing w:before="0" w:after="283"/>
              <w:jc w:val="right"/>
              <w:rPr/>
            </w:pPr>
            <w:r>
              <w:rPr/>
              <w:t>105,300,651</w:t>
            </w:r>
          </w:p>
        </w:tc>
        <w:tc>
          <w:tcPr>
            <w:tcW w:w="81"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608" w:type="dxa"/>
            <w:tcBorders/>
            <w:tcMar>
              <w:bottom w:w="0" w:type="dxa"/>
            </w:tcMar>
            <w:vAlign w:val="center"/>
          </w:tcPr>
          <w:p>
            <w:pPr>
              <w:pStyle w:val="TableContents"/>
              <w:bidi w:val="0"/>
              <w:spacing w:before="0" w:after="283"/>
              <w:jc w:val="left"/>
              <w:rPr/>
            </w:pPr>
            <w:r>
              <w:rPr/>
              <w:t>Subscription receivable</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(169,616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(169,616</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 w:type="dxa"/>
            <w:tcBorders/>
            <w:tcMar>
              <w:bottom w:w="0" w:type="dxa"/>
            </w:tcMar>
            <w:vAlign w:val="center"/>
          </w:tcPr>
          <w:p>
            <w:pPr>
              <w:pStyle w:val="TableContents"/>
              <w:bidi w:val="0"/>
              <w:spacing w:before="0" w:after="283"/>
              <w:jc w:val="left"/>
              <w:rPr/>
            </w:pPr>
            <w:r>
              <w:rPr/>
              <w:t> </w:t>
            </w:r>
          </w:p>
        </w:tc>
        <w:tc>
          <w:tcPr>
            <w:tcW w:w="1307" w:type="dxa"/>
            <w:tcBorders/>
            <w:tcMar>
              <w:bottom w:w="0" w:type="dxa"/>
            </w:tcMar>
            <w:vAlign w:val="center"/>
          </w:tcPr>
          <w:p>
            <w:pPr>
              <w:pStyle w:val="TableContents"/>
              <w:bidi w:val="0"/>
              <w:spacing w:before="0" w:after="283"/>
              <w:jc w:val="right"/>
              <w:rPr/>
            </w:pPr>
            <w:r>
              <w:rPr/>
              <w:t>(169,616</w:t>
            </w:r>
          </w:p>
        </w:tc>
        <w:tc>
          <w:tcPr>
            <w:tcW w:w="81" w:type="dxa"/>
            <w:tcBorders/>
            <w:tcMar>
              <w:bottom w:w="0" w:type="dxa"/>
            </w:tcMar>
            <w:vAlign w:val="center"/>
          </w:tcPr>
          <w:p>
            <w:pPr>
              <w:pStyle w:val="TableContents"/>
              <w:bidi w:val="0"/>
              <w:spacing w:before="0" w:after="283"/>
              <w:ind w:left="0" w:right="0" w:hanging="180"/>
              <w:jc w:val="left"/>
              <w:rPr/>
            </w:pPr>
            <w:r>
              <w:rPr/>
              <w:t>)</w:t>
            </w:r>
          </w:p>
        </w:tc>
      </w:tr>
      <w:tr>
        <w:trPr/>
        <w:tc>
          <w:tcPr>
            <w:tcW w:w="5608" w:type="dxa"/>
            <w:tcBorders/>
            <w:shd w:fill="CCEEFF" w:val="clear"/>
            <w:tcMar>
              <w:bottom w:w="0" w:type="dxa"/>
            </w:tcMar>
            <w:vAlign w:val="center"/>
          </w:tcPr>
          <w:p>
            <w:pPr>
              <w:pStyle w:val="TableContents"/>
              <w:bidi w:val="0"/>
              <w:spacing w:before="0" w:after="283"/>
              <w:jc w:val="left"/>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vAlign w:val="center"/>
          </w:tcPr>
          <w:p>
            <w:pPr>
              <w:pStyle w:val="TableContents"/>
              <w:bidi w:val="0"/>
              <w:spacing w:before="0" w:after="283"/>
              <w:jc w:val="right"/>
              <w:rPr/>
            </w:pPr>
            <w:r>
              <w:rPr/>
              <w:t>(68,334,381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vAlign w:val="center"/>
          </w:tcPr>
          <w:p>
            <w:pPr>
              <w:pStyle w:val="TableContents"/>
              <w:bidi w:val="0"/>
              <w:spacing w:before="0" w:after="283"/>
              <w:jc w:val="right"/>
              <w:rPr/>
            </w:pPr>
            <w:r>
              <w:rPr/>
              <w:t>(68,334,381</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shd w:fill="CCEEFF" w:val="clear"/>
            <w:vAlign w:val="center"/>
          </w:tcPr>
          <w:p>
            <w:pPr>
              <w:pStyle w:val="TableContents"/>
              <w:bidi w:val="0"/>
              <w:spacing w:before="0" w:after="283"/>
              <w:jc w:val="left"/>
              <w:rPr/>
            </w:pPr>
            <w:r>
              <w:rPr/>
              <w:t> </w:t>
            </w:r>
          </w:p>
        </w:tc>
        <w:tc>
          <w:tcPr>
            <w:tcW w:w="1307" w:type="dxa"/>
            <w:tcBorders>
              <w:bottom w:val="single" w:sz="12" w:space="0" w:color="000000"/>
            </w:tcBorders>
            <w:shd w:fill="CCEEFF" w:val="clear"/>
            <w:vAlign w:val="center"/>
          </w:tcPr>
          <w:p>
            <w:pPr>
              <w:pStyle w:val="TableContents"/>
              <w:bidi w:val="0"/>
              <w:spacing w:before="0" w:after="283"/>
              <w:jc w:val="right"/>
              <w:rPr/>
            </w:pPr>
            <w:r>
              <w:rPr/>
              <w:t>(68,334,381</w:t>
            </w:r>
          </w:p>
        </w:tc>
        <w:tc>
          <w:tcPr>
            <w:tcW w:w="81"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5608" w:type="dxa"/>
            <w:tcBorders/>
            <w:tcMar>
              <w:bottom w:w="0" w:type="dxa"/>
            </w:tcMar>
            <w:vAlign w:val="center"/>
          </w:tcPr>
          <w:p>
            <w:pPr>
              <w:pStyle w:val="TableContents"/>
              <w:bidi w:val="0"/>
              <w:spacing w:before="0" w:after="283"/>
              <w:jc w:val="left"/>
              <w:rPr/>
            </w:pPr>
            <w:r>
              <w:rPr/>
              <w:t>Total stockholders’ equity (deficit)</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right"/>
              <w:rPr/>
            </w:pPr>
            <w:r>
              <w:rPr/>
              <w:t>(4,033,406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right"/>
              <w:rPr/>
            </w:pPr>
            <w:r>
              <w:rPr/>
              <w:t>1,057,004</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 w:type="dxa"/>
            <w:tcBorders>
              <w:bottom w:val="single" w:sz="12" w:space="0" w:color="000000"/>
            </w:tcBorders>
            <w:vAlign w:val="center"/>
          </w:tcPr>
          <w:p>
            <w:pPr>
              <w:pStyle w:val="TableContents"/>
              <w:bidi w:val="0"/>
              <w:spacing w:before="0" w:after="283"/>
              <w:jc w:val="left"/>
              <w:rPr/>
            </w:pPr>
            <w:r>
              <w:rPr/>
              <w:t> </w:t>
            </w:r>
          </w:p>
        </w:tc>
        <w:tc>
          <w:tcPr>
            <w:tcW w:w="1307" w:type="dxa"/>
            <w:tcBorders>
              <w:bottom w:val="single" w:sz="12" w:space="0" w:color="000000"/>
            </w:tcBorders>
            <w:vAlign w:val="center"/>
          </w:tcPr>
          <w:p>
            <w:pPr>
              <w:pStyle w:val="TableContents"/>
              <w:bidi w:val="0"/>
              <w:spacing w:before="0" w:after="283"/>
              <w:jc w:val="right"/>
              <w:rPr/>
            </w:pPr>
            <w:r>
              <w:rPr/>
              <w:t>36,800,236</w:t>
            </w:r>
          </w:p>
        </w:tc>
        <w:tc>
          <w:tcPr>
            <w:tcW w:w="81" w:type="dxa"/>
            <w:tcBorders/>
            <w:tcMar>
              <w:bottom w:w="0" w:type="dxa"/>
            </w:tcMar>
            <w:vAlign w:val="center"/>
          </w:tcPr>
          <w:p>
            <w:pPr>
              <w:pStyle w:val="TableContents"/>
              <w:bidi w:val="0"/>
              <w:spacing w:before="0" w:after="283"/>
              <w:ind w:left="0" w:right="0" w:hanging="180"/>
              <w:jc w:val="left"/>
              <w:rPr/>
            </w:pPr>
            <w:r>
              <w:rPr/>
              <w:t> </w:t>
            </w:r>
          </w:p>
        </w:tc>
      </w:tr>
      <w:tr>
        <w:trPr/>
        <w:tc>
          <w:tcPr>
            <w:tcW w:w="5608" w:type="dxa"/>
            <w:tcBorders/>
            <w:shd w:fill="CCEEFF" w:val="clear"/>
            <w:tcMar>
              <w:bottom w:w="0" w:type="dxa"/>
            </w:tcMar>
            <w:vAlign w:val="center"/>
          </w:tcPr>
          <w:p>
            <w:pPr>
              <w:pStyle w:val="TableContents"/>
              <w:bidi w:val="0"/>
              <w:spacing w:before="0" w:after="283"/>
              <w:jc w:val="left"/>
              <w:rPr/>
            </w:pPr>
            <w:r>
              <w:rPr/>
              <w:t>Total capitalization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175" w:type="dxa"/>
            <w:tcBorders>
              <w:bottom w:val="double" w:sz="10" w:space="0" w:color="000000"/>
            </w:tcBorders>
            <w:shd w:fill="CCEEFF" w:val="clear"/>
            <w:vAlign w:val="center"/>
          </w:tcPr>
          <w:p>
            <w:pPr>
              <w:pStyle w:val="TableContents"/>
              <w:bidi w:val="0"/>
              <w:spacing w:before="0" w:after="283"/>
              <w:jc w:val="right"/>
              <w:rPr/>
            </w:pPr>
            <w:r>
              <w:rPr/>
              <w:t>(2,802,473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175" w:type="dxa"/>
            <w:tcBorders>
              <w:bottom w:val="double" w:sz="10" w:space="0" w:color="000000"/>
            </w:tcBorders>
            <w:shd w:fill="CCEEFF" w:val="clear"/>
            <w:vAlign w:val="center"/>
          </w:tcPr>
          <w:p>
            <w:pPr>
              <w:pStyle w:val="TableContents"/>
              <w:bidi w:val="0"/>
              <w:spacing w:before="0" w:after="283"/>
              <w:jc w:val="right"/>
              <w:rPr/>
            </w:pPr>
            <w:r>
              <w:rPr/>
              <w:t>2,287,937</w:t>
            </w:r>
          </w:p>
        </w:tc>
        <w:tc>
          <w:tcPr>
            <w:tcW w:w="1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bottom w:val="double" w:sz="10" w:space="0" w:color="000000"/>
            </w:tcBorders>
            <w:shd w:fill="CCEEFF" w:val="clear"/>
            <w:vAlign w:val="center"/>
          </w:tcPr>
          <w:p>
            <w:pPr>
              <w:pStyle w:val="TableContents"/>
              <w:bidi w:val="0"/>
              <w:spacing w:before="0" w:after="283"/>
              <w:jc w:val="left"/>
              <w:rPr/>
            </w:pPr>
            <w:r>
              <w:rPr/>
              <w:t>$</w:t>
            </w:r>
          </w:p>
        </w:tc>
        <w:tc>
          <w:tcPr>
            <w:tcW w:w="1307" w:type="dxa"/>
            <w:tcBorders>
              <w:bottom w:val="double" w:sz="10" w:space="0" w:color="000000"/>
            </w:tcBorders>
            <w:shd w:fill="CCEEFF" w:val="clear"/>
            <w:vAlign w:val="center"/>
          </w:tcPr>
          <w:p>
            <w:pPr>
              <w:pStyle w:val="TableContents"/>
              <w:bidi w:val="0"/>
              <w:spacing w:before="0" w:after="283"/>
              <w:jc w:val="right"/>
              <w:rPr/>
            </w:pPr>
            <w:r>
              <w:rPr/>
              <w:t>38,031,169</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$1.00 increase or decrease in the assumed public offering price of $4.50 per share (the closing price of our common stock on April 5, 2024 on the OTCQB), would increase or decrease each of our pro forma cash and cash equivalents, additional paid-in capital and total capitalization by approximately $8.3 million, after deducting estimated underwriting discounts and commissions. Similarly, each increase or decrease of 1.0 million shares in the number of shares of common stock offered by us would increase or decrease each of our pro forma cash and cash equivalents, additional paid-in capital and total capitalization by approximately $4.2 million, assuming a public offering price of $4.50 per share (the closing price of our common stock on April 5, 2024 on the OTCQB) and after deducting estimated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an aggregate of 27,074,766 shares outstanding as of December 31, 2023, after giving effect to (i) the issuance of 2,099,490 shares of our common stock upon the conversion of our convertible promissory notes (based upon the conversion price of $2.42 per share (calculated based upon the assumed public offering price of $4.50 per share (the closing price of our common stock on April 5, 2024 on the OTCQB)) and (ii) 17,462 shares of our common stock to be issued upon the cashless exercise of the Wavemaker Warrants (calculated based upon the assumed public offering price of $4.50 per share (the closing price of our common stock on April 5, 2024 on the OTCQB)), each immediately prior to the completion of this offering, but excludes: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1,515,386 shares of common stock issuable upon the exercise of stock options outstanding as of December 31, 2023 that were subject to options originally granted under the 2021 Plan, with a weighted-average exercise price of $0.61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1,313,949 shares of common stock available for issuance under the 2023 Plan with a weighted-average exercise price of $4.00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Bridge Warrants to purchase an aggregate of 468,971 shares of our common stock with an exercise price of $3.20 per share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Bridge Broker Warrants to purchase an aggregate of 74,662 shares of our common stock with an exercise price of $3.20 per share as of December 31,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Placement Agent A Warrants to purchase an aggregate of 153,909 shares of our common stock with an exercise price of $4.00 per share as of December 31,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Placement Agent B Warrants to purchase an aggregate of 250,000 shares of our common stock with an exercise price of $0.001 per share as of December 31,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to purchase an aggregate of 13,911 shares of our common stock at the exercise price of $3.89 per share as of December 31, 2023 assumed by us in connection with the Merger;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warrant to purchase an aggregate of 2,145,000 shares of our common stock at the exercise price of $0.01 per share issued to Magna in February 2024;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Offering Warrants to purchase an aggregate of 633,266 shares of our common stock at the exercise price of $2.42 per share (calculated based upon the assumed public offering price of $4.50 per share (the closing price of our common stock on April 5, 2024 on the OTCQB));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Underwriter’s Warrants to purchase an aggregate of 444,444 shares of our common stock to be issued in connection with this offering.</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all information in this prospectus assumes: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automatic conversion of our convertible promissory notes into shares of common stock immediately prior to the completion of this offering;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cashless exercise of the Wavemaker Warrants immediately prior to the completion with the closing of this offering, pursuant to the terms therein, into an aggregate of 17,462 shares of common stock, based upon the assumed public offering price of $4.50 per share (the closing price of our common stock on April 5, 2024 on the OTCQB);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exercise or cancellation of other outstanding options and warrants or the repurchase of outstanding unvested restricted stock awards subsequent to December 31, 2023;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3"/>
        <w:gridCol w:w="9749"/>
      </w:tblGrid>
      <w:tr>
        <w:trPr/>
        <w:tc>
          <w:tcPr>
            <w:tcW w:w="8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the underwriter’s over-allotment option.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7" w:name="a_016"/>
      <w:bookmarkEnd w:id="17"/>
      <w:r>
        <w:rPr>
          <w:rFonts w:ascii="Times New Roman;Times;Serif" w:hAnsi="Times New Roman;Times;Serif"/>
          <w:b/>
          <w:i w:val="false"/>
          <w:smallCaps/>
          <w:sz w:val="20"/>
        </w:rPr>
        <w:t>DILUTION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in this offering, your ownership interest will be immediately diluted to the extent of the difference between the public offering price per share of our common stock in this offering and the pro forma as adjusted net tangible book value per share of our common stock immediately after this offering. Dilution results from the fact that the per share offering price of our common stock is substantially in excess of the pro forma net tangible book value per share attributable to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a historical net tangible book value of $(4.0) million, or $(0.16) per share of common stock, based on 24,832,814 shares of our common stock outstanding. Our historical net tangible book value per share represents the amount of our total tangible assets, less total liabilities, divided by the total number of shares of our common stock outstanding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 forma net tangible book value as of December 31, 2023 was $1.1 million, or $0.0 per share of common stock. Pro forma net tangible book value per share represents the amount of our total tangible assets, less total liabilities, divided by the aggregate number of shares of our common stock outstanding as of December 31, 2023, on a pro forma basis, after giving effect to (i) the conversion of all of our outstanding convertible promissory notes into 2,099,490 shares of our common stock (based upon the assumed public offering price of $4.50 per share (the closing price of our common stock on April 5, 2024 on the OTCQB)) and (ii) the cashless exercise of the Wavemaker Warrants into 17,462 shares of our common stock (based upon the assumed public offering price of $4.50 per share (the closing price of our common stock on April 5, 2024 on the OTCQB)), each of which will occur immediately prior to the completion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the sale and issuance by us of the 8,888,889 shares of our common stock in this offering at the assumed public offering price of $4.50 per share (the closing price of our common stock on April 5, 2024 on the OTCQB), and after deducting the estimated underwriting discounts and commissions and estimated offering expenses payable by us, our pro forma as adjusted net tangible book value as of December 31, 2023, would be approximately $36.8 million, or approximately $1.03 per share of common stock. This represents an immediate increase in pro forma net tangible book value to our existing stockholders of approximately $0.99 per share and an immediate dilution to new investors purchasing common stock in this offering of approximately $3.47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new investors is determined by subtracting pro forma as adjusted net tangible book value per share after this offering from the public offering price per share paid by new investors. The following table illustrates this dilution on a per share basis (without giving effect to any exercise by the underwriter of its option to purchase additional shares):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50"/>
        <w:gridCol w:w="60"/>
        <w:gridCol w:w="140"/>
        <w:gridCol w:w="440"/>
        <w:gridCol w:w="60"/>
        <w:gridCol w:w="140"/>
        <w:gridCol w:w="440"/>
        <w:gridCol w:w="75"/>
      </w:tblGrid>
      <w:tr>
        <w:trPr/>
        <w:tc>
          <w:tcPr>
            <w:tcW w:w="8850" w:type="dxa"/>
            <w:tcBorders/>
            <w:shd w:fill="CCEEFF" w:val="clear"/>
            <w:vAlign w:val="center"/>
          </w:tcPr>
          <w:p>
            <w:pPr>
              <w:pStyle w:val="TableContents"/>
              <w:bidi w:val="0"/>
              <w:spacing w:before="0" w:after="283"/>
              <w:ind w:left="0" w:right="0" w:hanging="180"/>
              <w:jc w:val="left"/>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4.50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850" w:type="dxa"/>
            <w:tcBorders/>
            <w:vAlign w:val="center"/>
          </w:tcPr>
          <w:p>
            <w:pPr>
              <w:pStyle w:val="TableContents"/>
              <w:bidi w:val="0"/>
              <w:spacing w:before="0" w:after="283"/>
              <w:jc w:val="left"/>
              <w:rPr/>
            </w:pPr>
            <w:r>
              <w:rPr/>
              <w:t>Pro forma net tangible book value per share as of December 31,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0.04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8850" w:type="dxa"/>
            <w:tcBorders/>
            <w:shd w:fill="CCEEFF" w:val="clear"/>
            <w:vAlign w:val="center"/>
          </w:tcPr>
          <w:p>
            <w:pPr>
              <w:pStyle w:val="TableContents"/>
              <w:bidi w:val="0"/>
              <w:spacing w:before="0" w:after="283"/>
              <w:jc w:val="left"/>
              <w:rPr/>
            </w:pPr>
            <w:r>
              <w:rPr/>
              <w:t>Increase in pro forma net tangible book value per share attributable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0.99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850" w:type="dxa"/>
            <w:tcBorders/>
            <w:vAlign w:val="center"/>
          </w:tcPr>
          <w:p>
            <w:pPr>
              <w:pStyle w:val="TableContents"/>
              <w:bidi w:val="0"/>
              <w:spacing w:before="0" w:after="283"/>
              <w:jc w:val="left"/>
              <w:rPr/>
            </w:pPr>
            <w:r>
              <w:rPr/>
              <w:t>Pro forma as adjusted net tangible book value per share after this offering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tcMar>
              <w:bottom w:w="28" w:type="dxa"/>
            </w:tcMar>
            <w:vAlign w:val="center"/>
          </w:tcPr>
          <w:p>
            <w:pPr>
              <w:pStyle w:val="TableContents"/>
              <w:bidi w:val="0"/>
              <w:spacing w:before="0" w:after="283"/>
              <w:jc w:val="right"/>
              <w:rPr/>
            </w:pPr>
            <w:r>
              <w:rPr/>
              <w:t>1.03</w:t>
            </w:r>
          </w:p>
        </w:tc>
        <w:tc>
          <w:tcPr>
            <w:tcW w:w="75" w:type="dxa"/>
            <w:tcBorders/>
            <w:vAlign w:val="center"/>
          </w:tcPr>
          <w:p>
            <w:pPr>
              <w:pStyle w:val="TableContents"/>
              <w:bidi w:val="0"/>
              <w:spacing w:before="0" w:after="283"/>
              <w:ind w:left="0" w:right="0" w:hanging="180"/>
              <w:jc w:val="left"/>
              <w:rPr/>
            </w:pPr>
            <w:r>
              <w:rPr/>
              <w:t> </w:t>
            </w:r>
          </w:p>
        </w:tc>
      </w:tr>
      <w:tr>
        <w:trPr/>
        <w:tc>
          <w:tcPr>
            <w:tcW w:w="8850" w:type="dxa"/>
            <w:tcBorders/>
            <w:shd w:fill="CCEEFF" w:val="clear"/>
            <w:vAlign w:val="center"/>
          </w:tcPr>
          <w:p>
            <w:pPr>
              <w:pStyle w:val="TableContents"/>
              <w:bidi w:val="0"/>
              <w:spacing w:before="0" w:after="283"/>
              <w:jc w:val="left"/>
              <w:rPr/>
            </w:pPr>
            <w:r>
              <w:rPr/>
              <w:t>Dilution in pro forma as adjusted net tangible value per share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3.47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$1.00 increase or decrease in the assumed public offering price of $4.50 per share (the closing price of our common stock on April 5, 2024 on the OTCQB), would increase or decrease our pro forma as adjusted net tangible book value per share by approximately $0.91 and the dilution in pro forma as adjusted net tangible book value per share to new investors in this offering by approximately $4.38, assuming (i) that the number of shares outstanding immediately prior to this offering remains 27,074,766 shares and (ii) the deduction of estimated underwriting discounts and commissions. Similarly, each increase or decrease of 1.0 million shares in the number of shares of common stock offered by us would increase or decrease our pro forma as adjusted net tangible book value per share by approximately $0.10 and decrease the dilution in pro forma as adjusted net tangible book value per share to new investors in this offering by approximately $3.38, after deducting estimated underwriting discounts and commissions. If the underwriters exercise their option to purchase additional shares in full, the pro forma as adjusted net tangible book value per share would be $1.14 per share, and the dilution per share to new investors in this offering would be $3.36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December 31, 2023, on the pro forma as adjusted basis described above, the differences between the existing stockholders and the new investors purchasing shares in this offering with respect to the number of shares of common stock purchased from us, the total consideration paid, which includes net proceeds received from the issuance of common stock, cash received from the exercise of stock options, the value of any capital stock issued for services and the average price per share of our common stock paid by existing stockholders. The calculation with respect to shares of common stock purchased by new investors in this offering reflects the issuance of shares of our common stock in this offering at the assumed public offering price of $4.50 per share (the closing price of our common stock on April 5, 2024 on the OTCQB), before deducting underwriting discounts and commissions and estimated offering expenses payable by us.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2"/>
        <w:gridCol w:w="60"/>
        <w:gridCol w:w="63"/>
        <w:gridCol w:w="1156"/>
        <w:gridCol w:w="63"/>
        <w:gridCol w:w="63"/>
        <w:gridCol w:w="109"/>
        <w:gridCol w:w="691"/>
        <w:gridCol w:w="215"/>
        <w:gridCol w:w="60"/>
        <w:gridCol w:w="140"/>
        <w:gridCol w:w="1520"/>
        <w:gridCol w:w="60"/>
        <w:gridCol w:w="60"/>
        <w:gridCol w:w="109"/>
        <w:gridCol w:w="691"/>
        <w:gridCol w:w="215"/>
        <w:gridCol w:w="60"/>
        <w:gridCol w:w="221"/>
        <w:gridCol w:w="699"/>
        <w:gridCol w:w="78"/>
      </w:tblGrid>
      <w:tr>
        <w:trPr/>
        <w:tc>
          <w:tcPr>
            <w:tcW w:w="3872" w:type="dxa"/>
            <w:tcBorders/>
            <w:vAlign w:val="center"/>
          </w:tcPr>
          <w:p>
            <w:pPr>
              <w:pStyle w:val="TableContents"/>
              <w:bidi w:val="0"/>
              <w:spacing w:before="0" w:after="283"/>
              <w:jc w:val="left"/>
              <w:rPr>
                <w:b/>
              </w:rPr>
            </w:pPr>
            <w:r>
              <w:rPr>
                <w:b/>
              </w:rPr>
              <w:t>(Amounts in thousands, except share and per</w:t>
            </w:r>
          </w:p>
        </w:tc>
        <w:tc>
          <w:tcPr>
            <w:tcW w:w="60" w:type="dxa"/>
            <w:tcBorders/>
            <w:vAlign w:val="center"/>
          </w:tcPr>
          <w:p>
            <w:pPr>
              <w:pStyle w:val="TableContents"/>
              <w:bidi w:val="0"/>
              <w:spacing w:before="0" w:after="283"/>
              <w:jc w:val="center"/>
              <w:rPr/>
            </w:pPr>
            <w:r>
              <w:rPr/>
              <w:t> </w:t>
            </w:r>
          </w:p>
        </w:tc>
        <w:tc>
          <w:tcPr>
            <w:tcW w:w="21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purchased</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 consideration</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Average</w:t>
              <w:br/>
              <w:t>price per</w:t>
            </w:r>
          </w:p>
        </w:tc>
        <w:tc>
          <w:tcPr>
            <w:tcW w:w="78" w:type="dxa"/>
            <w:tcBorders/>
            <w:vAlign w:val="center"/>
          </w:tcPr>
          <w:p>
            <w:pPr>
              <w:pStyle w:val="TableContents"/>
              <w:bidi w:val="0"/>
              <w:spacing w:before="0" w:after="283"/>
              <w:jc w:val="center"/>
              <w:rPr/>
            </w:pPr>
            <w:r>
              <w:rPr/>
              <w:t> </w:t>
            </w:r>
          </w:p>
        </w:tc>
      </w:tr>
      <w:tr>
        <w:trPr/>
        <w:tc>
          <w:tcPr>
            <w:tcW w:w="3872" w:type="dxa"/>
            <w:tcBorders>
              <w:bottom w:val="single" w:sz="12" w:space="0" w:color="000000"/>
            </w:tcBorders>
            <w:tcMar>
              <w:bottom w:w="28" w:type="dxa"/>
            </w:tcMar>
            <w:vAlign w:val="center"/>
          </w:tcPr>
          <w:p>
            <w:pPr>
              <w:pStyle w:val="TableContents"/>
              <w:bidi w:val="0"/>
              <w:spacing w:before="0" w:after="283"/>
              <w:jc w:val="left"/>
              <w:rPr>
                <w:b/>
              </w:rPr>
            </w:pPr>
            <w:r>
              <w:rPr>
                <w:b/>
              </w:rPr>
              <w:t>share amounts, and percentages)</w:t>
            </w:r>
          </w:p>
        </w:tc>
        <w:tc>
          <w:tcPr>
            <w:tcW w:w="60" w:type="dxa"/>
            <w:tcBorders/>
            <w:vAlign w:val="center"/>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r>
          </w:p>
        </w:tc>
        <w:tc>
          <w:tcPr>
            <w:tcW w:w="78" w:type="dxa"/>
            <w:tcBorders/>
            <w:vAlign w:val="center"/>
          </w:tcPr>
          <w:p>
            <w:pPr>
              <w:pStyle w:val="TableContents"/>
              <w:bidi w:val="0"/>
              <w:spacing w:before="0" w:after="283"/>
              <w:jc w:val="center"/>
              <w:rPr/>
            </w:pPr>
            <w:r>
              <w:rPr/>
              <w:t> </w:t>
            </w:r>
          </w:p>
        </w:tc>
      </w:tr>
      <w:tr>
        <w:trPr/>
        <w:tc>
          <w:tcPr>
            <w:tcW w:w="38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stockholders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27,074,766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69,558,307.83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63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699" w:type="dxa"/>
            <w:tcBorders/>
            <w:shd w:fill="CCEEFF" w:val="clear"/>
            <w:vAlign w:val="center"/>
          </w:tcPr>
          <w:p>
            <w:pPr>
              <w:pStyle w:val="TableContents"/>
              <w:bidi w:val="0"/>
              <w:spacing w:before="0" w:after="283"/>
              <w:jc w:val="right"/>
              <w:rPr/>
            </w:pPr>
            <w:r>
              <w:rPr/>
              <w:t>2.57</w:t>
            </w:r>
          </w:p>
        </w:tc>
        <w:tc>
          <w:tcPr>
            <w:tcW w:w="78" w:type="dxa"/>
            <w:tcBorders/>
            <w:shd w:fill="CCEEFF" w:val="clear"/>
            <w:vAlign w:val="center"/>
          </w:tcPr>
          <w:p>
            <w:pPr>
              <w:pStyle w:val="TableContents"/>
              <w:bidi w:val="0"/>
              <w:spacing w:before="0" w:after="283"/>
              <w:jc w:val="left"/>
              <w:rPr/>
            </w:pPr>
            <w:r>
              <w:rPr/>
              <w:t> </w:t>
            </w:r>
          </w:p>
        </w:tc>
      </w:tr>
      <w:tr>
        <w:trPr/>
        <w:tc>
          <w:tcPr>
            <w:tcW w:w="3872" w:type="dxa"/>
            <w:tcBorders/>
            <w:vAlign w:val="center"/>
          </w:tcPr>
          <w:p>
            <w:pPr>
              <w:pStyle w:val="TableContents"/>
              <w:bidi w:val="0"/>
              <w:spacing w:before="0" w:after="283"/>
              <w:jc w:val="left"/>
              <w:rPr/>
            </w:pPr>
            <w:r>
              <w:rPr/>
              <w:t>New investors</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tcMar>
              <w:bottom w:w="28" w:type="dxa"/>
            </w:tcMar>
            <w:vAlign w:val="center"/>
          </w:tcPr>
          <w:p>
            <w:pPr>
              <w:pStyle w:val="TableContents"/>
              <w:bidi w:val="0"/>
              <w:spacing w:before="0" w:after="283"/>
              <w:jc w:val="right"/>
              <w:rPr/>
            </w:pPr>
            <w:r>
              <w:rPr/>
              <w:t>8,888,889</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tcMar>
              <w:bottom w:w="28" w:type="dxa"/>
            </w:tcMar>
            <w:vAlign w:val="center"/>
          </w:tcPr>
          <w:p>
            <w:pPr>
              <w:pStyle w:val="TableContents"/>
              <w:bidi w:val="0"/>
              <w:spacing w:before="0" w:after="283"/>
              <w:jc w:val="right"/>
              <w:rPr/>
            </w:pPr>
            <w:r>
              <w:rPr/>
              <w:t>40,000,000.00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37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tcMar>
              <w:bottom w:w="28" w:type="dxa"/>
            </w:tcMar>
            <w:vAlign w:val="center"/>
          </w:tcPr>
          <w:p>
            <w:pPr>
              <w:pStyle w:val="TableContents"/>
              <w:bidi w:val="0"/>
              <w:spacing w:before="0" w:after="283"/>
              <w:jc w:val="right"/>
              <w:rPr/>
            </w:pPr>
            <w:r>
              <w:rPr/>
              <w:t>4.50</w:t>
            </w:r>
          </w:p>
        </w:tc>
        <w:tc>
          <w:tcPr>
            <w:tcW w:w="78" w:type="dxa"/>
            <w:tcBorders/>
            <w:vAlign w:val="center"/>
          </w:tcPr>
          <w:p>
            <w:pPr>
              <w:pStyle w:val="TableContents"/>
              <w:bidi w:val="0"/>
              <w:spacing w:before="0" w:after="283"/>
              <w:jc w:val="left"/>
              <w:rPr/>
            </w:pPr>
            <w:r>
              <w:rPr/>
              <w:t> </w:t>
            </w:r>
          </w:p>
        </w:tc>
      </w:tr>
      <w:tr>
        <w:trPr/>
        <w:tc>
          <w:tcPr>
            <w:tcW w:w="3872"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35,963,655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single" w:sz="12" w:space="0" w:color="000000"/>
            </w:tcBorders>
            <w:shd w:fill="CCEEFF" w:val="clear"/>
            <w:tcMar>
              <w:bottom w:w="28" w:type="dxa"/>
            </w:tcMar>
            <w:vAlign w:val="center"/>
          </w:tcPr>
          <w:p>
            <w:pPr>
              <w:pStyle w:val="TableContents"/>
              <w:bidi w:val="0"/>
              <w:spacing w:before="0" w:after="283"/>
              <w:jc w:val="right"/>
              <w:rPr/>
            </w:pPr>
            <w:r>
              <w:rPr/>
              <w:t>109,558,307.83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pPr>
            <w:r>
              <w:rPr/>
              <w:t>3.54</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osition w:val="8"/>
                <w:sz w:val="19"/>
              </w:rPr>
            </w:pPr>
            <w:r>
              <w:rPr>
                <w:position w:val="8"/>
                <w:sz w:val="19"/>
              </w:rPr>
              <w:t>(1)</w:t>
            </w:r>
          </w:p>
        </w:tc>
        <w:tc>
          <w:tcPr>
            <w:tcW w:w="9950" w:type="dxa"/>
            <w:tcBorders/>
            <w:vAlign w:val="center"/>
          </w:tcPr>
          <w:p>
            <w:pPr>
              <w:pStyle w:val="TableContents"/>
              <w:bidi w:val="0"/>
              <w:spacing w:before="0" w:after="283"/>
              <w:jc w:val="both"/>
              <w:rPr/>
            </w:pPr>
            <w:r>
              <w:rPr/>
              <w:t>The presentation in this table regarding ownership by existing stockholders does not give effect to any purchases that existing stockholders may otherwise purchase in this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 exercises its option to purchase additional shares of our common stock in full, the number of shares of our common stock held by new investors will increase to 27% of the total number of shares of our common stock outstanding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existing stockholders and their affiliates have indicated an interest in purchasing shares of common stock in this offering with an aggregate value of approximately $4.5 million at the assumed public offering price. However, because indications of interest are not binding agreements or commitments to purchase, the underwriter may determine to sell more, fewer or no shares in this offering to any of these parties, and as a result, potential purchases by these parties are not reflected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an aggregate of 27,074,766 shares outstanding as of December 31, 2023, after giving effect to (i) the issuance of 2,099,490 shares of our common stock upon the conversion of our convertible promissory notes (based upon the conversion price of $2.42 per share (calculated based upon the assumed public offering price of $4.50 per share (the closing price of our common stock on April 5, 2024 on the OTCQB)) and (ii) 17,462 shares of our common stock to be issued upon the cashless exercise of the Wavemaker Warrants (calculated based upon the assumed public offering price of $4.50 per share (the closing price of our common stock on April 5, 2024 on the OTCQB)), each immediately prior to the completion of this offering, but excludes: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1,515,386 shares of common stock issuable upon the exercise of stock options outstanding as of December 31, 2023 that were subject to options originally granted under the 2021 Plan with a weighted-average exercise price of $0.61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1,313,949 shares of common stock available for issuance under the 2023 Plan with a weighted-average exercise price of $4.00 per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Bridge Warrants to purchase an aggregate of 468,971 shares of our common stock with an exercise price of $3.20 per share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Bridge Broker Warrants to purchase an aggregate of 74,662 shares of our common stock with an exercise price of $3.20 per share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Placement Agent A Warrants to purchase an aggregate of 153,909 shares of our common stock with an exercise price of $4.00 per share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Placement Agent B Warrants to purchase an aggregate of 250,000 shares of our common stock with an exercise price of $0.001 per share as of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warrants to purchase an aggregate of 13,911 shares of our common stock at the exercise price of $3.89 per share as of December 31, 2023 assumed by us in connection with the Merger;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warrant to purchase an aggregate of 2,145,000 shares of our common stock at the exercise price of $0.01 per share issued to Magna in February 2024;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Offering Warrants to purchase an aggregate of 633,266 shares of our common stock at the exercise price of $2.42 per share (calculated based upon the assumed public offering price of $4.50 per share (the closing price of our common stock on April 5, 2024 on the OTCQB));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Underwriter’s Warrants to purchase an aggregate of 444,444 shares of our common stock to be issued in connection with this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all information in this prospectus assumes: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automatic conversion of our convertible promissory notes into of common stock immediately prior to the completion of this offering;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cashless exercise of the Wavemaker Warrants immediately prior to the completion of this offering, pursuant to the terms therein into an aggregate of 17,462 shares of common stock, based on the assumed public offering price in this offering of $4.50 per share (the closing price of our common stock on April 5, 2024 on the OTCQB);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exercise or cancellation of other outstanding options and warrants or the repurchase of outstanding unvested restricted stock awards subsequent to December 31, 2023;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83"/>
        <w:gridCol w:w="373"/>
        <w:gridCol w:w="9749"/>
      </w:tblGrid>
      <w:tr>
        <w:trPr/>
        <w:tc>
          <w:tcPr>
            <w:tcW w:w="8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the underwriter’s over-allotment option.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outstanding options or warrants are exercised, outstanding restricted stock awards settle, new options or other securities are issued under our equity incentive plans, or we issue additional shares of common stock, other equity securities or convertible debt securities in the future, investors participating in this offering will experience further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8" w:name="a_017"/>
      <w:bookmarkEnd w:id="18"/>
      <w:r>
        <w:rPr>
          <w:rFonts w:ascii="Times New Roman;Times;Serif" w:hAnsi="Times New Roman;Times;Serif"/>
          <w:b/>
          <w:i w:val="false"/>
          <w:smallCaps/>
          <w:sz w:val="20"/>
        </w:rPr>
        <w:t>MARKET INFORMATION FOR OUR COMMON STOCK</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the OTCQB Market, or the OTCQB, under the symbol “SBOT”. On April 5, 2024, the last reported sale price of our common stock on the OTCQB was $4.50 per share. Trading volume in our common stock has been very limited. In connection with this offering, we have applied to list our common stock on Nasdaq under the symbol “SERV”. Accordingly, we expect our common stock to begin trading on The Nasdaq Capital Market on or around the date of this prospectus, at which point our common stock will cease to be traded on the OTCQB Market.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5, 2024, we had 24,957,814 shares of common stock outstanding held by approximately 214 stockholders of record.</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19" w:name="a_018"/>
      <w:bookmarkEnd w:id="19"/>
      <w:r>
        <w:rPr>
          <w:rFonts w:ascii="Times New Roman;Times;Serif" w:hAnsi="Times New Roman;Times;Serif"/>
          <w:b/>
          <w:i w:val="false"/>
          <w:smallCaps/>
          <w:sz w:val="20"/>
        </w:rPr>
        <w:t>PRINCIPAL STOCKHOLDERS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April 5, 2024 by: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59"/>
        <w:gridCol w:w="9644"/>
      </w:tblGrid>
      <w:tr>
        <w:trPr/>
        <w:tc>
          <w:tcPr>
            <w:tcW w:w="10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w:t>
            </w:r>
          </w:p>
        </w:tc>
        <w:tc>
          <w:tcPr>
            <w:tcW w:w="9644" w:type="dxa"/>
            <w:tcBorders/>
            <w:vAlign w:val="center"/>
          </w:tcPr>
          <w:p>
            <w:pPr>
              <w:pStyle w:val="TableContents"/>
              <w:bidi w:val="0"/>
              <w:spacing w:before="0" w:after="283"/>
              <w:jc w:val="both"/>
              <w:rPr/>
            </w:pPr>
            <w:r>
              <w:rPr/>
              <w:t>each of our named executive officers;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775"/>
        <w:gridCol w:w="9257"/>
      </w:tblGrid>
      <w:tr>
        <w:trPr/>
        <w:tc>
          <w:tcPr>
            <w:tcW w:w="1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pPr>
            <w:r>
              <w:rPr/>
              <w:t>●</w:t>
            </w:r>
          </w:p>
        </w:tc>
        <w:tc>
          <w:tcPr>
            <w:tcW w:w="9257" w:type="dxa"/>
            <w:tcBorders/>
            <w:vAlign w:val="center"/>
          </w:tcPr>
          <w:p>
            <w:pPr>
              <w:pStyle w:val="TableContents"/>
              <w:bidi w:val="0"/>
              <w:spacing w:before="0" w:after="283"/>
              <w:jc w:val="both"/>
              <w:rPr/>
            </w:pPr>
            <w:r>
              <w:rPr/>
              <w:t>each of our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both"/>
              <w:rPr/>
            </w:pPr>
            <w:r>
              <w:rPr/>
              <w:t>all of our current directors and executive officers as a group;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each person, or group of affiliated persons, who beneficially owned more than 5% of our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shares beneficially owned before this offering is computed on the basis of 24,957,814 shares of common stock outstanding as of April 5, 2024. The percentage of shares beneficially owned after this offering is computed on the basis of shares of common stock outstanding as of April 5, 2024 (including 2,099,490 shares of our common stock to be issued upon the conversion of our convertible promissory notes immediately prior to the completion of this offering (at a conversion price of $2.42 per share) and 17,462 shares of our common stock to be issued upon the cashless exercise of the Wavemaker Warrants (based upon the assumed public offering price of $4.50 per share)). Shares of common stock that a person has the right to acquire within 60 days of April 5, 2024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and their affiliates have indicated an interest in purchasing shares of our common stock in this offering with an aggregate value of approximately $4.5 million at the assumed public offering price. However, because indications of interest are not binding agreements or commitments to purchase, the underwriter may determine to sell more, fewer or no shares in this offering to any of these parties, or any of these parties may determine to purchase more, fewer or no shares in this offering. The information set forth below does not reflect any potential purchase of any shares in this offering by such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in the table below is c/o Serve Robotics Inc., 730 Broadway, Redwood City, CA 94063.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4"/>
        <w:gridCol w:w="60"/>
        <w:gridCol w:w="64"/>
        <w:gridCol w:w="904"/>
        <w:gridCol w:w="64"/>
        <w:gridCol w:w="64"/>
        <w:gridCol w:w="131"/>
        <w:gridCol w:w="834"/>
        <w:gridCol w:w="185"/>
        <w:gridCol w:w="60"/>
        <w:gridCol w:w="74"/>
        <w:gridCol w:w="1057"/>
        <w:gridCol w:w="74"/>
        <w:gridCol w:w="74"/>
        <w:gridCol w:w="131"/>
        <w:gridCol w:w="834"/>
        <w:gridCol w:w="185"/>
        <w:gridCol w:w="60"/>
        <w:gridCol w:w="74"/>
        <w:gridCol w:w="1044"/>
        <w:gridCol w:w="74"/>
        <w:gridCol w:w="74"/>
        <w:gridCol w:w="131"/>
        <w:gridCol w:w="834"/>
        <w:gridCol w:w="205"/>
      </w:tblGrid>
      <w:tr>
        <w:trPr/>
        <w:tc>
          <w:tcPr>
            <w:tcW w:w="291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w:t>
              <w:br/>
              <w:t>Stock Beneficially</w:t>
              <w:br/>
              <w:t xml:space="preserve">Owned Prior to the </w:t>
              <w:br/>
              <w:t>Offering</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w:t>
              <w:br/>
              <w:t>Stock Beneficially</w:t>
              <w:br/>
              <w:t xml:space="preserve">Owned After the Offering </w:t>
              <w:br/>
              <w:t>(No Exercise</w:t>
              <w:br/>
              <w:t>of Over-Allotment</w:t>
              <w:br/>
              <w:t>Option)</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w:t>
              <w:br/>
              <w:t>Stock Beneficially</w:t>
              <w:br/>
              <w:t>Owned After the Offering</w:t>
              <w:br/>
              <w:t>(Full Exercise</w:t>
              <w:br/>
              <w:t>of Over-Allotment</w:t>
              <w:br/>
              <w:t>Option)</w:t>
            </w:r>
          </w:p>
        </w:tc>
        <w:tc>
          <w:tcPr>
            <w:tcW w:w="205" w:type="dxa"/>
            <w:tcBorders/>
            <w:vAlign w:val="center"/>
          </w:tcPr>
          <w:p>
            <w:pPr>
              <w:pStyle w:val="TableContents"/>
              <w:bidi w:val="0"/>
              <w:spacing w:before="0" w:after="283"/>
              <w:ind w:left="0" w:right="0" w:hanging="180"/>
              <w:jc w:val="left"/>
              <w:rPr/>
            </w:pPr>
            <w:r>
              <w:rPr/>
              <w:t> </w:t>
            </w:r>
          </w:p>
        </w:tc>
      </w:tr>
      <w:tr>
        <w:trPr/>
        <w:tc>
          <w:tcPr>
            <w:tcW w:w="291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left"/>
              <w:rPr/>
            </w:pPr>
            <w:r>
              <w:rPr/>
              <w:t> </w:t>
            </w:r>
          </w:p>
        </w:tc>
        <w:tc>
          <w:tcPr>
            <w:tcW w:w="96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205" w:type="dxa"/>
            <w:tcBorders/>
            <w:vAlign w:val="center"/>
          </w:tcPr>
          <w:p>
            <w:pPr>
              <w:pStyle w:val="TableContents"/>
              <w:bidi w:val="0"/>
              <w:spacing w:before="0" w:after="283"/>
              <w:ind w:left="0" w:right="0" w:hanging="180"/>
              <w:jc w:val="left"/>
              <w:rPr/>
            </w:pPr>
            <w:r>
              <w:rPr/>
              <w:t> </w:t>
            </w:r>
          </w:p>
        </w:tc>
      </w:tr>
      <w:tr>
        <w:trPr/>
        <w:tc>
          <w:tcPr>
            <w:tcW w:w="29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 Stockholders</w:t>
            </w:r>
          </w:p>
        </w:tc>
        <w:tc>
          <w:tcPr>
            <w:tcW w:w="60" w:type="dxa"/>
            <w:tcBorders/>
            <w:vAlign w:val="center"/>
          </w:tcPr>
          <w:p>
            <w:pPr>
              <w:pStyle w:val="TableContents"/>
              <w:bidi w:val="0"/>
              <w:spacing w:before="0" w:after="283"/>
              <w:jc w:val="left"/>
              <w:rPr/>
            </w:pPr>
            <w:r>
              <w:rPr/>
              <w:t> </w:t>
            </w:r>
          </w:p>
        </w:tc>
        <w:tc>
          <w:tcPr>
            <w:tcW w:w="968" w:type="dxa"/>
            <w:gridSpan w:val="2"/>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ind w:left="0" w:right="0" w:hanging="180"/>
              <w:jc w:val="left"/>
              <w:rPr/>
            </w:pPr>
            <w:r>
              <w:rPr/>
              <w:t> </w:t>
            </w:r>
          </w:p>
        </w:tc>
      </w:tr>
      <w:tr>
        <w:trPr/>
        <w:tc>
          <w:tcPr>
            <w:tcW w:w="29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Postmates, LLC</w:t>
            </w:r>
            <w:r>
              <w:rPr>
                <w:rFonts w:ascii="Times New Roman;Times;Serif" w:hAnsi="Times New Roman;Times;Serif"/>
                <w:position w:val="7"/>
                <w:sz w:val="16"/>
                <w:sz w:val="20"/>
              </w:rPr>
              <w:t xml:space="preserve">(1) </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4,173,326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4,173,326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4,173,326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w:t>
            </w:r>
          </w:p>
        </w:tc>
        <w:tc>
          <w:tcPr>
            <w:tcW w:w="20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NVIDIA</w:t>
            </w:r>
            <w:r>
              <w:rPr>
                <w:rFonts w:ascii="Times New Roman;Times;Serif" w:hAnsi="Times New Roman;Times;Serif"/>
                <w:position w:val="7"/>
                <w:sz w:val="16"/>
                <w:sz w:val="20"/>
              </w:rPr>
              <w:t xml:space="preserve">(2) </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3,724,498</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3,724,498</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3,724,498</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c>
          <w:tcPr>
            <w:tcW w:w="20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NEO 2.0 Entities</w:t>
            </w:r>
            <w:r>
              <w:rPr>
                <w:rFonts w:ascii="Times New Roman;Times;Serif" w:hAnsi="Times New Roman;Times;Serif"/>
                <w:position w:val="7"/>
                <w:sz w:val="16"/>
                <w:sz w:val="20"/>
              </w:rPr>
              <w:t xml:space="preserve">(3) </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1,438,228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1,438,228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1,438,228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20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Tompkins</w:t>
            </w:r>
            <w:r>
              <w:rPr>
                <w:rFonts w:ascii="Times New Roman;Times;Serif" w:hAnsi="Times New Roman;Times;Serif"/>
                <w:position w:val="7"/>
                <w:sz w:val="16"/>
                <w:sz w:val="20"/>
              </w:rPr>
              <w:t xml:space="preserve">(4) </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1,843,750</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1,843,750</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1,843,750</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20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ind w:left="0" w:right="0" w:hanging="180"/>
              <w:jc w:val="left"/>
              <w:rPr/>
            </w:pPr>
            <w:r>
              <w:rPr/>
              <w:t> </w:t>
            </w:r>
          </w:p>
        </w:tc>
      </w:tr>
      <w:tr>
        <w:trPr/>
        <w:tc>
          <w:tcPr>
            <w:tcW w:w="29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Named Executive Officers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ind w:left="0" w:right="0" w:hanging="180"/>
              <w:jc w:val="left"/>
              <w:rPr/>
            </w:pPr>
            <w:r>
              <w:rPr/>
              <w:t> </w:t>
            </w:r>
          </w:p>
        </w:tc>
      </w:tr>
      <w:tr>
        <w:trPr/>
        <w:tc>
          <w:tcPr>
            <w:tcW w:w="29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r>
              <w:rPr>
                <w:rFonts w:ascii="Times New Roman;Times;Serif" w:hAnsi="Times New Roman;Times;Serif"/>
                <w:position w:val="7"/>
                <w:sz w:val="16"/>
                <w:sz w:val="20"/>
              </w:rPr>
              <w:t xml:space="preserve">(5) </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2,361,351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2,361,351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2,361,351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c>
          <w:tcPr>
            <w:tcW w:w="20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subject to voting proxy</w:t>
            </w:r>
            <w:r>
              <w:rPr>
                <w:rFonts w:ascii="Times New Roman;Times;Serif" w:hAnsi="Times New Roman;Times;Serif"/>
                <w:position w:val="7"/>
                <w:sz w:val="16"/>
                <w:sz w:val="20"/>
              </w:rPr>
              <w:t>(6)</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6,860,053</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6,860,053</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6,860,053</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w:t>
            </w:r>
          </w:p>
        </w:tc>
        <w:tc>
          <w:tcPr>
            <w:tcW w:w="20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Touraj Parang</w:t>
            </w:r>
            <w:r>
              <w:rPr>
                <w:rFonts w:ascii="Times New Roman;Times;Serif" w:hAnsi="Times New Roman;Times;Serif"/>
                <w:position w:val="7"/>
                <w:sz w:val="16"/>
                <w:sz w:val="20"/>
              </w:rPr>
              <w:t xml:space="preserve">(7) </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816,256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816,256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816,256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20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Buckly Jordan</w:t>
            </w:r>
            <w:r>
              <w:rPr>
                <w:rFonts w:ascii="Times New Roman;Times;Serif" w:hAnsi="Times New Roman;Times;Serif"/>
                <w:position w:val="7"/>
                <w:sz w:val="16"/>
                <w:sz w:val="20"/>
              </w:rPr>
              <w:t>(8)</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809,936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809,936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809,936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20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Olivier Vincent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Pourdad</w:t>
            </w:r>
            <w:r>
              <w:rPr>
                <w:rFonts w:ascii="Times New Roman;Times;Serif" w:hAnsi="Times New Roman;Times;Serif"/>
                <w:position w:val="7"/>
                <w:sz w:val="16"/>
                <w:sz w:val="20"/>
              </w:rPr>
              <w:t xml:space="preserve">(9) </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31,283</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31,283</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31,283</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Euan Abraham</w:t>
            </w:r>
            <w:r>
              <w:rPr>
                <w:rFonts w:ascii="Times New Roman;Times;Serif" w:hAnsi="Times New Roman;Times;Serif"/>
                <w:position w:val="7"/>
                <w:sz w:val="16"/>
                <w:sz w:val="20"/>
              </w:rPr>
              <w:t xml:space="preserve">(10) </w:t>
            </w: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191,963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191,963</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191,963</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Sarfraz Maredia</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9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ind w:left="0" w:right="0" w:hanging="180"/>
              <w:jc w:val="left"/>
              <w:rPr/>
            </w:pPr>
            <w:r>
              <w:rPr/>
              <w:t> </w:t>
            </w:r>
          </w:p>
        </w:tc>
      </w:tr>
      <w:tr>
        <w:trPr/>
        <w:tc>
          <w:tcPr>
            <w:tcW w:w="29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All directors and executive officers as a group (8 persons)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8,034,505</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8,034,505</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8,034,505</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4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Represents beneficial ownership of less than 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209,518 shares issuable upon the conversion of convertible promissory notes at a conversion price of $2.42 per share, which is the conversion price set forth in the convertible promissory note. Postmates is the wholly-owned subsidiary of Uber. The address of Uber is 1515 3</w:t>
            </w:r>
            <w:r>
              <w:rPr>
                <w:rFonts w:ascii="Times New Roman;Times;Serif" w:hAnsi="Times New Roman;Times;Serif"/>
                <w:position w:val="7"/>
                <w:sz w:val="16"/>
                <w:sz w:val="20"/>
              </w:rPr>
              <w:t>rd</w:t>
            </w:r>
            <w:r>
              <w:rPr>
                <w:rFonts w:ascii="Times New Roman;Times;Serif" w:hAnsi="Times New Roman;Times;Serif"/>
                <w:sz w:val="20"/>
              </w:rPr>
              <w:t xml:space="preserve"> Street, San Francisco, California 94158.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1,047,594 shares issuable upon the conversion of convertible promissory notes at a conversion price of $2.42 per share, which is the conversion price set forth in the convertible promissory note. The address of NVIDIA is 2788 San Tomas Expressway, Santa Clara, California 95051.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283"/>
              <w:jc w:val="both"/>
              <w:rPr/>
            </w:pPr>
            <w:r>
              <w:rPr/>
              <w:t>Consists of (i) 1,420,228 shares of common stock held by NEO 2.0, L.P. and (ii) 18,000 shares of common stock held by NEO 2.0a, L.P. The general partner of each of NEO 2.0., L.P. and NEO 2.0a, L.P. is NEO GP 2.0, LLC. Ali Partovi is the Managing Director of NEO GP 2.0, LLC and has dispositive power over the shares of common stock controlled thereby. The address of NEO GP 2.0, LLC is 2121 S. El Camino Real, Ste 200, San Mateo, California 94403.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by Mr. Tompkins with the SEC on February 14, 2024. Consists of (i) 1,687,500 shares of common stock and (ii) 156,250 shares of common stock underlying the Bridge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2,205,309 shares of common stock held directly by Dr. Kashani, (ii) 16,070 shares of common stock held by Nikki Stoddart, the spouse of Dr. Kashani, (iii) 80,350 shares of common stock held by Salma Kashani, (iv) 8,035 shares of common stock held by Ali Sadeghi Hariri, (v) 1,562 shares underlying warrants to purchase common stock which are exercisable within 60 days of April 5, 2024, and (vi) 50,025 shares of common stock underlying options which are or will become exercisable within 60 days of April 5, 2024. Dr. Kashani shares control of the shares of common stock held by Ms. Stoddart. 1,093,653 shares of common stock held by Dr. Kashani are subject to a repurchase option held by the Company in the event that Dr. Kashani’s service with the Company is terminated.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283"/>
              <w:jc w:val="both"/>
              <w:rPr/>
            </w:pPr>
            <w:r>
              <w:rPr/>
              <w:t>Consists of shares of common stock held by holders of pre-Merger common stock over which Dr. Kashani holds an irrevocable proxy, pursuant to the agreements between the Company and such stockholders. The Company does not believe that the parties to these voting agreements constitute a “group” under Section 13 of the Securities Exchange Act of 1934, as amended, as Dr. Kashani exercises voting control over these shares. Dr. Kashani does not have dispositive control over these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794,709 shares of common stock held by Touraj Parang, (ii) 2,008 shares of common stock held by Armin Parang, Mr. Parang’s brother, (iii) 2,008 shares of common stock held by Payman Parang, Mr. Parang’s brother, (iv) 2,008 shares of common stock held by Shaghayegh Ahkami, Mr. Parang’s sister-in-law, (v) 2,008 shares of common stock held by Shahyar Ahkami, Mr. Parang’s brother-in-law and (vi) 13,515 shares of common stock underlying options which are or will become exercisable within 60 days of April 5, 2024. Mr. Parang disclaims beneficial ownership of the shares of common stock held by Armin Parang, Payman Parang, Shaghayegh Ahkami and Shahyar Ahkami. 401,372 shares of common stock held by Mr. Parang are subject to a repurchase option held by the Company in the event that Mr. Parang’s service with the Company is terminated.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99" w:type="dxa"/>
            <w:tcBorders/>
            <w:vAlign w:val="center"/>
          </w:tcPr>
          <w:p>
            <w:pPr>
              <w:pStyle w:val="TableContents"/>
              <w:bidi w:val="0"/>
              <w:spacing w:before="0" w:after="283"/>
              <w:jc w:val="both"/>
              <w:rPr>
                <w:sz w:val="20"/>
              </w:rPr>
            </w:pPr>
            <w:r>
              <w:rPr>
                <w:sz w:val="20"/>
              </w:rPr>
              <w:t>Consists of (i) 659,035 shares of common stock held by Wavemaker Global Select II, LLC, (ii) 9,200 shares held by Future VC, LLC, (iii) 77,291 shares of common stock held by Match Robotics VC, LLC and (iv) 64,410 shares of common stock underlying warrants to purchase common stock which are exercisable within 60 days of April 5, 2024, which will convert into 8,731 shares of our common stock immediately prior to the completion of this offering. James Buckly Jordan is the Managing Partner of Wavemaker Global Select II, LLC and has dispositive power over the shares of common stock held thereby. Future VC, LLC and Match Robotics VC, LLC are controlled by James Buckly Jordan. The address of Wavemaker Global Select II, LLC is 1 Nanson road #03-00, Singapore 238909. The address for Future VC, LLC is 1438 9th St., Santa Monica, California 90401. The address for Match Robotics VC, LLC is 1134 11th Street, Suite 101, Santa Monica, California 90403.</w:t>
            </w:r>
          </w:p>
        </w:tc>
      </w:tr>
    </w:tbl>
    <w:p>
      <w:pPr>
        <w:pStyle w:val="TextBody"/>
        <w:bidi w:val="0"/>
        <w:spacing w:before="0" w:after="0"/>
        <w:ind w:left="0" w:right="0" w:hanging="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260"/>
        <w:gridCol w:w="776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of common stock are held by Pourdad Capital Corp. over which Ali Pourdad has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191,963 options to purchase shares of common stock which are or will become exercisable within 60 days of April 5,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0" w:name="a_019"/>
      <w:bookmarkEnd w:id="20"/>
      <w:r>
        <w:rPr>
          <w:rFonts w:ascii="Times New Roman;Times;Serif" w:hAnsi="Times New Roman;Times;Serif"/>
          <w:b/>
          <w:i w:val="false"/>
          <w:smallCaps/>
          <w:sz w:val="20"/>
        </w:rPr>
        <w:t>DESCRIPTION OF CAPITAL STOCK</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capital stock consisting of 300,000,000 shares of common stock, par value $0.0001 per share, and 10,000,000 shares of preferred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24,832,814 shares of common stock issued and outstanding, and no shares of preferred stock issued and outstanding. Unless stated otherwise, the following discussion summarizes the term and provisions of our amended and restated certificate of incorporation and our amended and restated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Preemptive or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redemption or sinking fund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to Receive Liquidation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outstanding stock options to purchase an aggregate of 1,515,386 shares of our common stock, with a weighted-average exercise price of $0.61 per share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outstanding warrants to purchase an aggregate of 1,090,272 shares of our common stock, with a weighted-average exercise price of $2.67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Registration Rights Agreement that we entered into in connection with the Merger and the Private Placement, see “</w:t>
      </w:r>
      <w:r>
        <w:rPr>
          <w:rFonts w:ascii="Times New Roman;Times;Serif" w:hAnsi="Times New Roman;Times;Serif"/>
          <w:b w:val="false"/>
          <w:i/>
          <w:caps w:val="false"/>
          <w:smallCaps w:val="false"/>
          <w:sz w:val="20"/>
        </w:rPr>
        <w:t>Completion of Acquisition or Disposition of Assets—The Merger and Related Transactions—Registration Rights</w:t>
      </w:r>
      <w:r>
        <w:rPr>
          <w:rFonts w:ascii="Times New Roman;Times;Serif" w:hAnsi="Times New Roman;Times;Serif"/>
          <w:b w:val="false"/>
          <w:i w:val="false"/>
          <w:caps w:val="false"/>
          <w:smallCaps w:val="false"/>
          <w:sz w:val="20"/>
        </w:rPr>
        <w:t>” above. All descriptions of the Registration Rights Agreement herein are qualified in their entirety by reference to the text thereof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DGCL, our amended and restated certificate of incorporation, and our amended and restated bylaws following the Private Placement could have the effect of delaying, deferring, or discouraging another person from acquiring control of our Company by means of a tender offer, a proxy contest or otherwise, or to remove incumbent officers and directors.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before the stockholder became interested, our board of directors approved either the business combination or the transaction which resulted in the stockholder becoming an interested stockholder;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a business combination to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both"/>
              <w:rPr/>
            </w:pPr>
            <w:r>
              <w:rPr/>
              <w:t>any merger or consolidation involving the corporation and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sale, transfer, lease, pledge, or other disposition involving the interested stockholder of 10% or more of the assets of the corporation;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subject to exceptions, any transaction that results in the issuance of transfer by the corporation of any stock of the corporation to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receipt by the interested stockholder of the benefit of any loans, advances, guarantees, pledges or other financial benefits provided by or through the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 and Amended and Restated Bylaw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Board Vacancies</w:t>
            </w:r>
            <w:r>
              <w:rPr/>
              <w:t>. Our amended and restated bylaws and certificate of incorporation provide, subject to the special rights of the holders of any series of preferred stock to 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Classified Board</w:t>
            </w:r>
            <w:r>
              <w:rPr/>
              <w:t>. Our amended and restated certificate of incorporation and amended and restated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Directors Removed Only for Cause</w:t>
            </w:r>
            <w:r>
              <w:rPr/>
              <w:t>. Our amended and restated certificate of incorporation provide that stockholders may remove directors only for cause and only by the affirmative vote of the holders of at least two-thirds (2/3) of the voting power of the then-outstanding shares of our capital stock entitled to vote generally in the election of directors, voting together as a single class.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Supermajority Requirements for Amendments of Our Amended and Restated Certificate of Incorporation and Amended and Restated Bylaws</w:t>
            </w:r>
            <w:r>
              <w:rPr/>
              <w:t>. Our amended and restated certificate of incorporation further provide that the affirmative vote of holders of at least 66 2/3% of our capital 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capital stock entitled to vote generally in the election of directors, voting together as a single class, required to amend or repeal our amended and restated bylaws, although our amended and restated bylaws may be amended by the approval of a majority of the Whole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Stockholder Action; Special Meetings of Stockholders</w:t>
            </w:r>
            <w:r>
              <w:rPr/>
              <w:t>. Our amended and restated certificate of incorporation provide that our stockholders 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Advance Notice Requirements for Stockholder Proposals and Director Nominations</w:t>
            </w:r>
            <w:r>
              <w:rPr/>
              <w:t>. 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No Cumulative Voting</w:t>
            </w:r>
            <w:r>
              <w:rPr/>
              <w:t>. The DGCL provides that stockholders are not entitled to the right to cumulate votes in the election of directors unless a corporation’s certificate of incorporation provides otherwise. Our amended and restated certificate of incorporation and amended and restated bylaws do not provide for cumulative voting.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Issuance of Undesignated Preferred Stock</w:t>
            </w:r>
            <w:r>
              <w:rPr>
                <w:rFonts w:ascii="Times New Roman;Times;Serif" w:hAnsi="Times New Roman;Times;Serif"/>
                <w:sz w:val="20"/>
              </w:rPr>
              <w:t>. Our amended and restated certificate of incorporation provides that our board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Choice of Forum</w:t>
            </w:r>
            <w:r>
              <w:rPr>
                <w:rFonts w:ascii="Times New Roman;Times;Serif" w:hAnsi="Times New Roman;Times;Serif"/>
                <w:sz w:val="20"/>
              </w:rPr>
              <w:t>. Our amended and restated certificate of incorporation provides that, unless we consent in writing to the selection of an alternative forum 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shares of our capital stock shall be deemed to have notice of and consented to the forum selection provisions in the amended and restated certificate of incorporation.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 The transfer agent’s address is 18 Lafayette Place, Woodmere, NY 11598, and its telephone number is (212) 828-8436.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1" w:name="a_020"/>
      <w:bookmarkEnd w:id="21"/>
      <w:r>
        <w:rPr>
          <w:rFonts w:ascii="Times New Roman;Times;Serif" w:hAnsi="Times New Roman;Times;Serif"/>
          <w:b/>
          <w:i w:val="false"/>
          <w:smallCaps/>
          <w:sz w:val="20"/>
        </w:rPr>
        <w:t>SHARES ELIGIBLE FOR FUTURE SALE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or settlement of restricted stock units, in the public market after the completion of this offering, or the perception that those sales may occur, could adversely affect the prevailing market price for our common stock from time to time or impair our ability to raise equity capital in the future. As described below, only a limited number of shares of our common stock will be available for sale in the public market for a period of several months after the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this offering, a total of 35,963,655 shares of our common stock will be outstanding, assuming the underwriter does not exercise its option to purchase additional shares. Of these shares, all of the shares of our common stock sold in this offering (plus any shares issued upon exercise of the underwriter’s over-allotment option) and 18,960,989 shares of our common stock that have previously been registered for resale will be freely tradable in the public market without restriction or further registration under the Securities Act, unless these shares are held by “affiliates,” as that term is defined in Rule 144 under the Securities Act (including any shares that may purchased by our affiliates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Standstill and 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without the prior written consent of the underwriter, we will not, for a period of twelve (12) months after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SEC relating to the offering of any of our equity securities or any securities convertible into or exercisable or exchangeable for our equity securities; or (c) enter into any swap or other agreement that transfers, in whole or in part, any of the economic consequences of ownership of our common stock or any such other securities, whether any such transaction described in clause (a) or (c) above is to be settled by delivery of our common stock or such other securities, in cash or otherwise, or enter into any agreement or announce the intention to effect any of the actions described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executive officers, employees and principal stockholders (holding 5% or more of the common stock of the Company) have agreed that, without the prior written consent of the underwriter, we and they will not, subject to certain exceptions, during the period ending 180 days after the date of this prospectus, offer, issue, sell, contract to sell, encumber grant any option for the sale of or otherwise dispose any shares of our common stock or any securities convertible into or exercisable or exchangeable for shares of our common stock. For additional information, see “</w:t>
      </w:r>
      <w:r>
        <w:rPr>
          <w:rFonts w:ascii="Times New Roman;Times;Serif" w:hAnsi="Times New Roman;Times;Serif"/>
          <w:b w:val="false"/>
          <w:i/>
          <w:caps w:val="false"/>
          <w:smallCaps w:val="false"/>
          <w:sz w:val="20"/>
        </w:rPr>
        <w:t>Underwriting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the initial closing of the Private Placement, all officers, directors, and certain principal stockholders (with 5% or more of the common stock of the Company) agreed, subject to certain exceptions, not to dispose of or hedge any shares of common stock or securities convertible into or exchangeable for shares of common stock during the period from July 31, 2023, the date of the lock-up agreement, through July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lock-up periods set forth in the agreements described above, substantially all of the shares of our common stock will be eligible for sale in the public market in compliance with Rule 144 or another exemption under the Securities Act or pursuant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promulgated under the Securities Act, sales of the securities of a former shell company, such as us, are not permitted (i) until at least 12 months have elapsed from the date on which we provided Form 10 information in our Form 8-K filed with the SEC, as amended by the Form 8-K/A filed with the SEC on August 16, 2023 and (ii) unless at the time of a proposed sale, we are subject to the reporting requirements of Section 13 or 15(d) of the Exchange Act and have filed all reports and other materials required to be filed by Section 13 or 15(d) of the Exchange Act, as applicable, during the preceding 12 months, other than Current Reports on Form 8-K. We have registered certain shares of our common stock under the Securities Act and have filed all reports and other materials required to be filed by Section 13 or Section 15(d) of the Exchange Act, as applicable, during the preceding 12 months, other than Current Reports on Form 8-K. The stockholders of such unregistered shares of common stock will be forced to hold their shares of our common stock for at least that 12-month period before they are eligible to sell those shares, and even after that 12-month period, sales may not be made under Rule 144 unless we are in compliance with other requirements of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Rule 144 provides that (i) any of our non-affiliates that has held restricted common stock for at least 12 months is thereafter entitled to sell its restricted stock freely and without restriction, provided that we remain compliant and current with our SEC reporting obligations and (ii) any of our affiliates, which includes our directors, executive officers and other person in control of us, that has held restricted common stock for at least 12 months is thereafter entitled to sell its restricted stock subject to the following restrictions: (a) we are compliant and current with our SEC reporting obligations, (b) certain manner of sale provisions are satisfied, (c) a Form 144 is filed with the SEC, and (d) certain volume limitations are satisfied, which limit the sale of shares within any three-month period to a number of shares that does not exceed 1% of the total number of outstanding shares or, if our common stock is then listed or quoted for trading on a national securities exchange, then the greater of 1% of the total number of outstanding shares and the average weekly trading volume of our common stock during the four calendar weeks preceding the filing of the Form 144 with respect to the sale. A person who has ceased to be an affiliate at least three months immediately preceding the sale and who has owned such shares of common stock for at least one year is entitled to sell the shares under Rule 144 without regard to any of the limitations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 under the Securities Act provides that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shares of common stock may be sold in some other manner outside the United States without requiring registration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Merger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agreements described above,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and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the Private Placement, we entered into the Registration Rights Agreement, pursuant to which we agreed that promptly, but no later than 60 calendar days from the final closing of the Private Placement, we would file, subject to customary exceptions, a Registration Statement covering the Registrable Securities. We also undertook to use our commercially reasonable efforts to ensure that such Registration Statement is declared effective within 120 calendar days after the final closing of the Private Placement. Such Registration Statement, covering 18,960,989 shares, became effective on December 14,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if any Registration Event occurs,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any Registrable Securities that may be resold without manner of sale restrictions, current information requirements, volume limitations or other limitations under Rule 144 or another exemption from registration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provide for certain registration rights, pursuant to which we agreed that as soon as practicable, but no later than 45 days after the date of issuance of the shares issued upon conversion of the Convertible Promissory Notes, we will use our best efforts to file, subject to customary exceptions, a registration statement with the SEC covering the shares issued upon conversion of the Convertible Promissory Notes. The shares of common stock issuable upon exercise of the Convertible Promissory Notes Offering Warrants will also be registered under the registration statement to be filed with respect to the shares issued upon conversion of the 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file with the SEC a registration statement under the Securities Act covering the shares of common stock that are outstanding or reserved for issuance under the 2021 Plan and 2023 Plan. Once such registration statement become effective, shares registered thereunder will be available for sale in the open market following its effective date, subject to Rule 144 volume limitations and the lock-up agreements described above,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2" w:name="a_021"/>
      <w:bookmarkEnd w:id="22"/>
      <w:r>
        <w:rPr>
          <w:rFonts w:ascii="Times New Roman;Times;Serif" w:hAnsi="Times New Roman;Times;Serif"/>
          <w:b/>
          <w:i w:val="false"/>
          <w:smallCaps/>
          <w:sz w:val="20"/>
        </w:rPr>
        <w:t>CERTAIN U.S. FEDERAL INCOME TAX CONSIDERATIONS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U.S. federal income tax considerations generally applicable to the ownership and disposition of our common stock.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dealers or traders in securities, tax-exempt organizations (including private foundations), taxpayers that have elected mark-to-market accounting, S corporations, regulated investment companies, real estate investment trusts, passive foreign investment companies, controlled foreign corporations, U.S. Holders (as defined below) that will hold common stock as part of a straddle, hedge, conversion, or other integrated transaction for U.S. federal income tax purposes, expatriates or former long-term residents of the United States, persons that are subject to the “applicable financial statement” rules under Section 451(b) of the Code, or U.S. Holders that have a functional currency other than the U.S. dollar), all of whom may be subject to tax rules that differ materially from those summarized below. This summary does not discuss other U.S. federal tax consequences (e.g., estate or gift tax), any state, local or non-U.S. tax considerations or the Medicare tax or alternative minimum tax. In addition, this summary is limited to investors that will hold our common stock as “capital assets” (generally, property held for investment) under the Code and that acquire our common stock for cash pursuant to this prospectus. No ruling from the Internal Revenue Service, (the “IRS”) has been or will be sought regarding any matter discussed herein. No assurance can be given that the IRS would not assert, or that a court would not sustain a position contrary to any of the tax aspects set forth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is a beneficial holder of common stock who or that, for U.S. federal income tax purposes, is: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7"/>
        <w:gridCol w:w="9854"/>
      </w:tblGrid>
      <w:tr>
        <w:trPr/>
        <w:tc>
          <w:tcPr>
            <w:tcW w:w="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w:t>
            </w:r>
          </w:p>
        </w:tc>
        <w:tc>
          <w:tcPr>
            <w:tcW w:w="9854"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corporation (or an entity treated as a corporation for U.S. federal income tax purposes) created in, or organized under the law of, the United States or any state thereof or the District of Columbia;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estate the income of which is includible in gross income for United States federal income tax purposes regardless of its source;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is a beneficial holder of common stock who or that is neither a U.S. Holder nor a partnership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ownership and disposition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OWNING AND DISPOSING OF OUR COMMON STOCK, AS WELL AS THE APPLICATION OF ANY, STATE, LOCAL AND NON-U.S. INCOME, ESTATE AND OTHER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distributions (other than certain distributions of our capital stock or rights to acquire our capital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Holders—Gain or loss on sale, taxable exchange or other taxable disposition of common stock”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or loss on sale, taxable exchange or other taxable disposition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less any prior distributions treated as a return of capital. The deductibility of capital losses is subject to limitations. Long-term capital gains recognized by non-corporate U.S. Holders are generally eligible for reduced rates of tax. If the U.S. Holder’s holding period for the common stock so disposed of is one year or less, any gain on a sale, taxable exchange or other taxable disposition of the shares would be subject to short-term capital gain treatment and would be taxed at ordinary income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dividends paid to a U.S. Holder and to the proceeds of the sale or other disposition of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 In addition, if we determine that we are likely to be classified as a “United States real property holding corporation” (see “Non-U.S. Holders—Gain on sale, taxable exchange or other taxable disposition of common stock” below), we will withhold 15% of any distribution that exceeds our current and accumulated earnings and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such non-U.S. Holder’s conduct of a trade or business within the United States (and, if an applicable tax treaty so requires,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taxable exchange or other taxable disposition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unless: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non-U.S. Holder is an individual who is present in the United States for 183 days or more in the taxable year of disposition and certain other conditions are met;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and applicable exceptions are not available, gain recognized by such holder on the sale, exchange or other disposition of our common stock will be subject to tax at generally applicable U.S. federal income tax rates. In addition, a buyer of our common stock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Code and Treasury Regulations and administrative guidance promulgated thereunder commonly referred to as the “Foreign Account Tax Compliance Act” (“FATCA”) generally impose withholding at a rate of 30% in certain circumstances on dividends in respect of our common stock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dividends and the proceeds from a sale or other disposition of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should consult its own tax advisor regarding the particular U.S. federal, state and local and non-U.S. tax consequences of purchasing, holding and disposing of our common stock, including the consequences of any proposed change inapplicable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3" w:name="a_022"/>
      <w:bookmarkEnd w:id="23"/>
      <w:r>
        <w:rPr>
          <w:rFonts w:ascii="Times New Roman;Times;Serif" w:hAnsi="Times New Roman;Times;Serif"/>
          <w:b/>
          <w:i w:val="false"/>
          <w:smallCaps/>
          <w:sz w:val="20"/>
        </w:rPr>
        <w:t>UNDERWRITING</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underwriting agreement with Aegis Capital Corp. (the “underwriter”) with respect to the securities subject to this offering. Subject to certain conditions, we have agreed to sell to the underwriter, and the underwriter has agreed to purchase, the number of shares of our common stock listed next to its name in the below table at the public offering price less the underwriting discounts and commissions set forth on the cover page of this prospectus.</w:t>
      </w:r>
    </w:p>
    <w:p>
      <w:pPr>
        <w:pStyle w:val="TextBody"/>
        <w:bidi w:val="0"/>
        <w:spacing w:before="0" w:after="0"/>
        <w:ind w:left="0" w:right="0" w:firstLine="490"/>
        <w:jc w:val="both"/>
        <w:rPr>
          <w:caps w:val="false"/>
          <w:smallCaps w:val="false"/>
        </w:rPr>
      </w:pPr>
      <w:r>
        <w:rPr>
          <w:caps w:val="false"/>
          <w:smallCaps w:val="false"/>
        </w:rPr>
        <w:t> </w:t>
      </w:r>
    </w:p>
    <w:tbl>
      <w:tblPr>
        <w:tblW w:w="3189" w:type="dxa"/>
        <w:jc w:val="left"/>
        <w:tblInd w:w="0" w:type="dxa"/>
        <w:tblLayout w:type="fixed"/>
        <w:tblCellMar>
          <w:top w:w="0" w:type="dxa"/>
          <w:left w:w="0" w:type="dxa"/>
          <w:bottom w:w="28" w:type="dxa"/>
          <w:right w:w="0" w:type="dxa"/>
        </w:tblCellMar>
      </w:tblPr>
      <w:tblGrid>
        <w:gridCol w:w="1925"/>
        <w:gridCol w:w="60"/>
        <w:gridCol w:w="161"/>
        <w:gridCol w:w="968"/>
        <w:gridCol w:w="75"/>
      </w:tblGrid>
      <w:tr>
        <w:trPr/>
        <w:tc>
          <w:tcPr>
            <w:tcW w:w="1925" w:type="dxa"/>
            <w:tcBorders>
              <w:bottom w:val="single" w:sz="12"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Aegis Capital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968" w:type="dxa"/>
            <w:tcBorders>
              <w:bottom w:val="single" w:sz="12"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will provide that the obligations of the underwriter to pay for and accept delivery of the shares offered by this prospectus are subject to the approval of certain legal matters by its legal counsel and certain other conditions. The underwriter is obligated to take and pay for all of the shares if any of the shares are taken. The underwriter is not, however, required to take or pay for shares covered by the over-allotment option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Over-Allotment Option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to the underwriter an option, exercisable no later than 45 calendar days after the date of the closing of this offering, to purchase up to                  additional shares of common stock at the public offering price listed on the cover page of this prospectus, less underwriting discounts and commissions. The underwriter may exercise this option only to cover over-allotments, if any, made in connection with this offering. To the extent the option is exercised and the conditions of the underwriting agreement are satisfied, we will be obligated to sell to the underwriter, and the underwriter will be obligated to purchase, these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Discounts and Commissions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underwriting discounts and commissions, expense allowance and proceeds, before expenses, to us assuming both no exercise and full exercise by the underwriter of the over-allotment option:</w:t>
      </w:r>
    </w:p>
    <w:p>
      <w:pPr>
        <w:pStyle w:val="TextBody"/>
        <w:bidi w:val="0"/>
        <w:jc w:val="left"/>
        <w:rPr>
          <w:caps w:val="false"/>
          <w:smallCaps w:val="false"/>
        </w:rPr>
      </w:pPr>
      <w:r>
        <w:rPr>
          <w:caps w:val="false"/>
          <w:smallCaps w:val="false"/>
        </w:rPr>
        <w:t> </w:t>
      </w:r>
    </w:p>
    <w:tbl>
      <w:tblPr>
        <w:tblW w:w="8975" w:type="dxa"/>
        <w:jc w:val="left"/>
        <w:tblInd w:w="0" w:type="dxa"/>
        <w:tblLayout w:type="fixed"/>
        <w:tblCellMar>
          <w:top w:w="0" w:type="dxa"/>
          <w:left w:w="0" w:type="dxa"/>
          <w:bottom w:w="0" w:type="dxa"/>
          <w:right w:w="0" w:type="dxa"/>
        </w:tblCellMar>
      </w:tblPr>
      <w:tblGrid>
        <w:gridCol w:w="4640"/>
        <w:gridCol w:w="60"/>
        <w:gridCol w:w="140"/>
        <w:gridCol w:w="600"/>
        <w:gridCol w:w="60"/>
        <w:gridCol w:w="60"/>
        <w:gridCol w:w="230"/>
        <w:gridCol w:w="1380"/>
        <w:gridCol w:w="60"/>
        <w:gridCol w:w="60"/>
        <w:gridCol w:w="230"/>
        <w:gridCol w:w="1380"/>
        <w:gridCol w:w="75"/>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Without</w:t>
              <w:br/>
              <w:t>Over-Allotment</w:t>
              <w:b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With</w:t>
              <w:br/>
              <w:t>Over-Allotment</w:t>
              <w:br/>
              <w:t>Option</w:t>
            </w:r>
          </w:p>
        </w:tc>
        <w:tc>
          <w:tcPr>
            <w:tcW w:w="75" w:type="dxa"/>
            <w:tcBorders/>
            <w:vAlign w:val="center"/>
          </w:tcPr>
          <w:p>
            <w:pPr>
              <w:pStyle w:val="TableContents"/>
              <w:bidi w:val="0"/>
              <w:spacing w:before="0" w:after="283"/>
              <w:ind w:left="0" w:right="0" w:hanging="200"/>
              <w:jc w:val="left"/>
              <w:rPr/>
            </w:pPr>
            <w:r>
              <w:rPr/>
              <w:t> </w:t>
            </w:r>
          </w:p>
        </w:tc>
      </w:tr>
      <w:tr>
        <w:trPr/>
        <w:tc>
          <w:tcPr>
            <w:tcW w:w="4640"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3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40" w:type="dxa"/>
            <w:tcBorders/>
            <w:vAlign w:val="center"/>
          </w:tcPr>
          <w:p>
            <w:pPr>
              <w:pStyle w:val="TableContents"/>
              <w:bidi w:val="0"/>
              <w:spacing w:before="0" w:after="283"/>
              <w:jc w:val="left"/>
              <w:rPr/>
            </w:pPr>
            <w:r>
              <w:rPr/>
              <w:t>Underwriting discounts and commissions (6.5%)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ind w:left="0" w:right="0" w:hanging="200"/>
              <w:jc w:val="left"/>
              <w:rPr/>
            </w:pPr>
            <w:r>
              <w:rPr/>
              <w:t> </w:t>
            </w:r>
          </w:p>
        </w:tc>
      </w:tr>
      <w:tr>
        <w:trPr/>
        <w:tc>
          <w:tcPr>
            <w:tcW w:w="4640" w:type="dxa"/>
            <w:tcBorders/>
            <w:shd w:fill="CCEEFF" w:val="clear"/>
            <w:vAlign w:val="center"/>
          </w:tcPr>
          <w:p>
            <w:pPr>
              <w:pStyle w:val="TableContents"/>
              <w:bidi w:val="0"/>
              <w:spacing w:before="0" w:after="283"/>
              <w:jc w:val="left"/>
              <w:rPr/>
            </w:pPr>
            <w:r>
              <w:rPr/>
              <w:t>Non-accountable expense allowance (1.0%)</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8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ind w:left="0" w:right="0" w:hanging="20"/>
              <w:jc w:val="left"/>
              <w:rPr/>
            </w:pPr>
            <w:r>
              <w:rPr/>
              <w:t> </w:t>
            </w:r>
          </w:p>
        </w:tc>
      </w:tr>
      <w:tr>
        <w:trPr/>
        <w:tc>
          <w:tcPr>
            <w:tcW w:w="4640" w:type="dxa"/>
            <w:tcBorders/>
            <w:vAlign w:val="center"/>
          </w:tcPr>
          <w:p>
            <w:pPr>
              <w:pStyle w:val="TableContents"/>
              <w:bidi w:val="0"/>
              <w:spacing w:before="0" w:after="283"/>
              <w:jc w:val="left"/>
              <w:rPr/>
            </w:pPr>
            <w:r>
              <w:rPr/>
              <w:t>Proceeds to us, before fees and other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3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proposes to offer the common stock offered by us to the public at the public offering price set forth on the cover of this prospectus. In addition, the underwriter may offer some of the shares to other securities dealers at such price less a concession of $                  per share. If all of the shares offered by us are not sold at the public offering price, the underwriter may change the offering price and other selling terms by means of a supplement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a non-accountable expense allowance to the underwriter equal to 1.0% of the gross proceeds received in this offering. We estimate that the total expenses of the offering, including registration, filing and listing fees, printing fees and legal and accounting expenses, but excluding underwriting discounts and commissions and the 1.0% non-accountable expense allowance, will be approximately $400,000, all of which are payable by us. This figure includes the underwriter’s accountable expenses up to a maximum aggregate expense reimbursement of $150,000, including, but not limited to, legal fees for the underwriter’s legal counsel, that we have agreed to pay at the closing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agreed to issue Aegis Capital Corp., the underwriter in the offering to which this prospectus relates, Placement Agent A Warrants to purchase a number of shares of our common stock equal to 8% of the number of shares of common stock sold in the Private Placement (other than to Insider Investors), with a term expiring three years after the common stock begins to trade on Nasdaq or NYSE and an exercise price of $4.00 per share. 26,482 Placement Agent A Warrants were received during FINRA’s review period and are therefore deemed compensation by FINRA and are therefore subject to a 6-month lock-up pursuant to FINRA’s Rule 5110 (the “Rule”). The underwriter (or its permitted assignees under the Rule) will not sell, transfer, assign, pledge, or hypothecate these warrants or the securities underlying these warrants, nor will it engage in any hedging, short sale, derivative, put or call transaction that would result in the effective economic disposition of the warrants or the underlying securities for a period of 180 days from the effectiveness of the prospectus related to this offering. The warrants may be exercised from time to time as to all or any portion of the shares of common stock. The warrants shall be exercisable on a cash basis, provided that if a registration statement registering the common stock underlying the warrants is not effective, the warrants may be exercised on a cashless basis. The warrants will provide for registration rights upon request, in certain cases. The sole demand registration right provided will not be greater than five years from the commencement of sales of the public offering in compliance with FINRA Rule 5110(g)(8)(C). The piggyback registration rights provided will not be greater than seven years from the commencement of sales of the public offering in compliance with FINRA Rule 5110(g)(8)(D). We will bear all fees and expenses attendant to registering the securities issuable on exercise of the warrants other than underwriting commissions incurred and payable by the holders. Consistent with FINRA Rule 5110(g)(8)(E) and (F), the exercise price and number of shares issuable upon exercise of the warrants may be adjusted in certain circumstances including in the event of a stock dividend, extraordinary cash dividend or our recapitalization, reorganization, merger or consolidation; however, the warrant exercise price or underlying shares will not be adjusted for issuances of shares of common stock at a price below the warrant exercise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issue to the underwriter or its designees warrants to purchase up to a total of 5.0% of the shares of common stock sold in this offering, excluding shares sold pursuant to the exercise of the over-allotment option, if any. Such warrants and the underlying shares of common stock are included in this prospectus. The warrants are exercisable at $          per share (125% of the public offering price per share of common stock) commencing on the date which is six (6) months from the effective date of the offering and expiring on the date which is five (5) years from the commencement of sales of the offering in compliance with FINRA Rule 5110.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been deemed compensation by FINRA and are therefore subject to a 6-month lock-up pursuant to Rule 5110 of FINRA. The underwriter (or its permitted assignees under the Rule) will not sell, transfer, assign, pledge, or hypothecate these warrants or the securities underlying these warrants, nor will it engage in any hedging, short sale, derivative, put or call transaction that would result in the effective economic disposition of the warrants or the underlying securities for a period of 180 days from effectiveness. The warrants may be exercised from time to time as to all or any portion of the shares of common stock. The warrants shall be exercisable on a cash basis, provided that if a registration statement registering the common stock underlying the warrants is not effective, the warrants may be exercised on a cashless basis. The warrants will provide for registration rights upon request, in certain cases. The sole demand registration right provided will not be greater than five years from the commencement of sales of the public offering in compliance with FINRA Rule 5110(g)(8)(C). The piggyback registration rights provided will not be greater than seven years from the commencement of sales of the public offering in compliance with FINRA Rule 5110(g)(8)(D). The Company will bear all fees and expenses attendant to registering the securities issuable on exercise of the warrants other than underwriting commissions incurred and payable by the holders. Consistent with FINRA Rule 5110(g)(8)(E) and (F), the exercise price and number of shares issuable upon exercise of the warrants may be adjusted in certain circumstances including in the event of a stock dividend, extraordinary cash dividend or the Company’s recapitalization, reorganization, merger or consolidation; however, the warrant exercise price or underlying shares will not be adjusted for issuances of shares of common stock at a price below the warrant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Standstill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without the prior written consent of the underwriter, we will not, for a period of twelve (12) months after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SEC relating to the offering of any of our equity securities or any securities convertible into or exercisable or exchangeable for our equity securities; or (c) enter into any swap or other agreement that transfers, in whole or in part, any of the economic consequences of ownership of the Common Stock or any such other securities, whether any such transaction described in clause (a) or (c) above is to be settled by delivery of Common Stock or such other securities, in cash or otherwise, or enter into any agreement or announce the intention to effect any of the actions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Lock-Up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directors, employees and shareholders holding at least 5% of our outstanding common stock have agreed, subject to certain exceptions, not to offer, sell, contract to sell, encumber, grant any option for the sale of or otherwise dispose of any of our shares or other securities convertible into or exercisable or exchangeable for our shares for a period of 180 days after the closing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agreed to pay the underwriter cash fees and expense allowance and issue to it warrants, all calculated in the manner set forth above, to the extent that any investor that the underwriter contacted or introduced to us during the term of our engagement agreement with the underwriter dated January 29, 2024, or any affiliate of such investor, provides financing or capital in any public or private offering or other capital raising transaction during the twelve (12) month period following the closing of this offering or expiration or termination of our engagement letter with the underwriter.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 against certain liabilities, including liabilities under the Securities Act, and to contribute to payments that the underwriter may be required to make for these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Stabilization, Short Positions and Penalty Bids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 may engage in transactions that stabilize, maintain or otherwise affect the price of our common stock. Specifically, the underwriter may over-allot in connection with this offering by selling more shares of common stock than are set forth on the cover page of this prospectus. This creates a short position in our common stock for its own account. The short position may be either a covered short position or a naked short position. In a covered short position, the number of shares of common stock over-allotted by the underwriter is not greater than the number of shares of our common stock that they may purchase in the over-allotment option. In a naked short position, the number of shares of our common stock involved is greater than the number of shares of common stock in the over-allotment option. To close out a short position, the underwriter may elect to exercise all or part of the over-allotment option. The underwriter may also elect to stabilize the price of our common stock or reduce any short position by bidding for, and purchasing, our common stock in the open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may also impose a penalty bid. This occurs when a particular underwriter or dealer repays selling concessions allowed to it for distributing a security in this offering because the underwriter repurchases that security in stabilizing or short covering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underwriter may bid for, and purchase, shares of our common stock in market making transactions, including “passive” market making transactions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may stabilize or maintain the market price of our common stock at a price that is higher than the price that might otherwise exist in the absence of these activities. The underwriter is not required to engage in these activities and may discontinue any of these activities at any time without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 and selling group members, if any, or their affiliates may engage in passive market making transactions in our common stock immediately prior to the commencement of sales in this offering, in accordance with Rule 103 of Regulation M under the Exchange Act. Rule 103 generally provides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net purchases by a passive market maker on each day are generally limited to 30% of the passive market maker’s average daily trading volume in our common stock during a specified two-month prior period or 200 shares, whichever is greater, and must be discontinued when that limit is reached; and</w:t>
            </w:r>
          </w:p>
        </w:tc>
      </w:tr>
    </w:tbl>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pPr>
            <w:r>
              <w:rPr/>
              <w:t>passive market making bids must be identified as such.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underwriter. The underwriter may agree to allocate a number of shares to underwriters for sale to their online brokerage account holders. Internet distributions will be allocated by the underwriter to underwriters that may make internet distributions on the same basis as other allocations. In connection with the offering, the underwriter or syndicate members may distribute prospectuses electronically. No forms of electronic prospectus other than prospectuses that are printable as Adobe® PDF will be used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prospectus in electronic format, the information on the any underwriter’s website and any information contained in any other website maintained by the underwriter is not part of the prospectus or the registration statement of which this prospectus forms a part, has not been approved and/or endorsed by us or any underwriter in its capacity as underwriter agent and should not be relied upon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Affiliations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and its affiliates may provide, from time to time, investment banking and financial advisory services to us in the ordinary course of business, for which they may receive customary fees and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4" w:name="a_023"/>
      <w:bookmarkEnd w:id="24"/>
      <w:r>
        <w:rPr>
          <w:rFonts w:ascii="Times New Roman;Times;Serif" w:hAnsi="Times New Roman;Times;Serif"/>
          <w:b/>
          <w:i w:val="false"/>
          <w:smallCaps/>
          <w:sz w:val="20"/>
        </w:rPr>
        <w:t>LEGAL MATTERS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our common stock being offered by this prospectus will be passed upon for us by Orrick, Herrington &amp; Sutcliffe LLP, Boston, Massachusetts. Certain legal matters relating to this offering will be passed upon for the underwriter by Sichenzia Ross Ference Carmel LLP, New York, New York.</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5" w:name="a_024"/>
      <w:bookmarkEnd w:id="25"/>
      <w:r>
        <w:rPr>
          <w:rFonts w:ascii="Times New Roman;Times;Serif" w:hAnsi="Times New Roman;Times;Serif"/>
          <w:b/>
          <w:i w:val="false"/>
          <w:smallCaps/>
          <w:sz w:val="20"/>
        </w:rPr>
        <w:t>EXPERTS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Serve as of and for each of the years ended December 31, 2023 and 2022, have been audited by dbbmckennon, independent registered public accounting firm, as set forth in their report (which contains an explanatory paragraph describing conditions that raise substantial doubt about Serve’s ability to continue as a going concern as described in Note 2 to the financial statements) included in this registration statement. Such financial statements have been included herein in reliance upon such report given 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26" w:name="a_025"/>
      <w:bookmarkEnd w:id="26"/>
      <w:r>
        <w:rPr>
          <w:rFonts w:ascii="Times New Roman;Times;Serif" w:hAnsi="Times New Roman;Times;Serif"/>
          <w:b/>
          <w:i w:val="false"/>
          <w:smallCaps/>
          <w:sz w:val="20"/>
        </w:rPr>
        <w:t>WHERE YOU CAN FIND MORE INFORMATION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this registration statement on Form S-1 under the Securities Act with respect to the shares of common stock being offered by this prospectus. This prospectus, which constitutes a part of this registration statement, does not contain all of the information in this registration statement and its exhibits. For further information with respect to us and the common stock offered by this prospectus, you should refer to this registration statement and the exhibits filed as part of this document. Statements contained in this prospectus as to the contents of any contract or any other document referred to are not necessarily complete, and in each instance, we refer you to the copy of the contract or other document filed as an exhibit to this registration statement. Each of these statements is qualified in all respects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and file annual, quarterly and current reports, proxy statements and other information with the SEC. You can read our SEC filings, including this registration statement, over the internet on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You may also request a copy of these filings, at no cost, by writing or telephoning us at: Serve Robotics Inc. 730 Broadway, Redwood City, California 94063, (818) 860-1352.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27" w:name="a_030"/>
      <w:bookmarkEnd w:id="27"/>
      <w:r>
        <w:rPr>
          <w:rFonts w:ascii="Times New Roman;Times;Serif" w:hAnsi="Times New Roman;Times;Serif"/>
          <w:b/>
          <w:i w:val="false"/>
          <w:smallCaps/>
          <w:sz w:val="20"/>
        </w:rPr>
        <w:t>INDEX TO FINANCIAL STATEMENTS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 Financial Statements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8045"/>
        <w:gridCol w:w="590"/>
      </w:tblGrid>
      <w:tr>
        <w:trPr/>
        <w:tc>
          <w:tcPr>
            <w:tcW w:w="8045"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Page </w:t>
            </w:r>
          </w:p>
        </w:tc>
      </w:tr>
      <w:tr>
        <w:trPr/>
        <w:tc>
          <w:tcPr>
            <w:tcW w:w="8045" w:type="dxa"/>
            <w:tcBorders/>
            <w:shd w:fill="CCEEFF" w:val="clear"/>
            <w:vAlign w:val="center"/>
          </w:tcPr>
          <w:p>
            <w:pPr>
              <w:pStyle w:val="TableContents"/>
              <w:bidi w:val="0"/>
              <w:spacing w:before="0" w:after="283"/>
              <w:jc w:val="left"/>
              <w:rPr/>
            </w:pPr>
            <w:hyperlink w:anchor="F_001">
              <w:r>
                <w:rPr>
                  <w:rStyle w:val="InternetLink"/>
                  <w:sz w:val="20"/>
                </w:rPr>
                <w:t>Report of Independent Registered Public Accounting Firm (PCAOB ID: #3501)</w:t>
              </w:r>
            </w:hyperlink>
          </w:p>
        </w:tc>
        <w:tc>
          <w:tcPr>
            <w:tcW w:w="590" w:type="dxa"/>
            <w:tcBorders/>
            <w:shd w:fill="CCEEFF" w:val="clear"/>
            <w:vAlign w:val="center"/>
          </w:tcPr>
          <w:p>
            <w:pPr>
              <w:pStyle w:val="TableContents"/>
              <w:bidi w:val="0"/>
              <w:spacing w:before="0" w:after="283"/>
              <w:jc w:val="center"/>
              <w:rPr/>
            </w:pPr>
            <w:r>
              <w:rPr/>
              <w:t>F-2</w:t>
            </w:r>
          </w:p>
        </w:tc>
      </w:tr>
      <w:tr>
        <w:trPr/>
        <w:tc>
          <w:tcPr>
            <w:tcW w:w="8045" w:type="dxa"/>
            <w:tcBorders/>
            <w:vAlign w:val="center"/>
          </w:tcPr>
          <w:p>
            <w:pPr>
              <w:pStyle w:val="TableContents"/>
              <w:bidi w:val="0"/>
              <w:spacing w:before="0" w:after="283"/>
              <w:jc w:val="left"/>
              <w:rPr/>
            </w:pPr>
            <w:hyperlink w:anchor="F_002">
              <w:r>
                <w:rPr>
                  <w:rStyle w:val="InternetLink"/>
                  <w:sz w:val="20"/>
                </w:rPr>
                <w:t>Consolidated Balance Sheets at December 31, 2023 and 2022</w:t>
              </w:r>
            </w:hyperlink>
          </w:p>
        </w:tc>
        <w:tc>
          <w:tcPr>
            <w:tcW w:w="590" w:type="dxa"/>
            <w:tcBorders/>
            <w:vAlign w:val="center"/>
          </w:tcPr>
          <w:p>
            <w:pPr>
              <w:pStyle w:val="TableContents"/>
              <w:bidi w:val="0"/>
              <w:spacing w:before="0" w:after="283"/>
              <w:jc w:val="center"/>
              <w:rPr/>
            </w:pPr>
            <w:r>
              <w:rPr/>
              <w:t>F-3</w:t>
            </w:r>
          </w:p>
        </w:tc>
      </w:tr>
      <w:tr>
        <w:trPr/>
        <w:tc>
          <w:tcPr>
            <w:tcW w:w="8045" w:type="dxa"/>
            <w:tcBorders/>
            <w:shd w:fill="CCEEFF" w:val="clear"/>
            <w:vAlign w:val="center"/>
          </w:tcPr>
          <w:p>
            <w:pPr>
              <w:pStyle w:val="TableContents"/>
              <w:bidi w:val="0"/>
              <w:spacing w:before="0" w:after="283"/>
              <w:jc w:val="left"/>
              <w:rPr/>
            </w:pPr>
            <w:hyperlink w:anchor="F_003">
              <w:r>
                <w:rPr>
                  <w:rStyle w:val="InternetLink"/>
                  <w:sz w:val="20"/>
                </w:rPr>
                <w:t>Consolidated Statements of Operations for the years ended December 31, 2023 and 2022</w:t>
              </w:r>
            </w:hyperlink>
          </w:p>
        </w:tc>
        <w:tc>
          <w:tcPr>
            <w:tcW w:w="590" w:type="dxa"/>
            <w:tcBorders/>
            <w:shd w:fill="CCEEFF" w:val="clear"/>
            <w:vAlign w:val="center"/>
          </w:tcPr>
          <w:p>
            <w:pPr>
              <w:pStyle w:val="TableContents"/>
              <w:bidi w:val="0"/>
              <w:spacing w:before="0" w:after="283"/>
              <w:jc w:val="center"/>
              <w:rPr/>
            </w:pPr>
            <w:r>
              <w:rPr/>
              <w:t>F-4</w:t>
            </w:r>
          </w:p>
        </w:tc>
      </w:tr>
      <w:tr>
        <w:trPr/>
        <w:tc>
          <w:tcPr>
            <w:tcW w:w="8045" w:type="dxa"/>
            <w:tcBorders/>
            <w:vAlign w:val="center"/>
          </w:tcPr>
          <w:p>
            <w:pPr>
              <w:pStyle w:val="TableContents"/>
              <w:bidi w:val="0"/>
              <w:spacing w:before="0" w:after="283"/>
              <w:jc w:val="left"/>
              <w:rPr/>
            </w:pPr>
            <w:hyperlink w:anchor="F_004">
              <w:r>
                <w:rPr>
                  <w:rStyle w:val="InternetLink"/>
                  <w:sz w:val="20"/>
                </w:rPr>
                <w:t>Consolidated Statements of Stockholders’ Deficit for the years ended December 31, 2023 and 2022</w:t>
              </w:r>
            </w:hyperlink>
          </w:p>
        </w:tc>
        <w:tc>
          <w:tcPr>
            <w:tcW w:w="590" w:type="dxa"/>
            <w:tcBorders/>
            <w:vAlign w:val="center"/>
          </w:tcPr>
          <w:p>
            <w:pPr>
              <w:pStyle w:val="TableContents"/>
              <w:bidi w:val="0"/>
              <w:spacing w:before="0" w:after="283"/>
              <w:jc w:val="center"/>
              <w:rPr/>
            </w:pPr>
            <w:r>
              <w:rPr/>
              <w:t>F-5</w:t>
            </w:r>
          </w:p>
        </w:tc>
      </w:tr>
      <w:tr>
        <w:trPr/>
        <w:tc>
          <w:tcPr>
            <w:tcW w:w="8045" w:type="dxa"/>
            <w:tcBorders/>
            <w:shd w:fill="CCEEFF" w:val="clear"/>
            <w:vAlign w:val="center"/>
          </w:tcPr>
          <w:p>
            <w:pPr>
              <w:pStyle w:val="TableContents"/>
              <w:bidi w:val="0"/>
              <w:spacing w:before="0" w:after="283"/>
              <w:jc w:val="left"/>
              <w:rPr/>
            </w:pPr>
            <w:hyperlink w:anchor="F_005">
              <w:r>
                <w:rPr>
                  <w:rStyle w:val="InternetLink"/>
                  <w:sz w:val="20"/>
                </w:rPr>
                <w:t>Consolidated Statements of Cash Flows for the years ended December 31, 2023 and 2022</w:t>
              </w:r>
            </w:hyperlink>
          </w:p>
        </w:tc>
        <w:tc>
          <w:tcPr>
            <w:tcW w:w="590" w:type="dxa"/>
            <w:tcBorders/>
            <w:shd w:fill="CCEEFF" w:val="clear"/>
            <w:vAlign w:val="center"/>
          </w:tcPr>
          <w:p>
            <w:pPr>
              <w:pStyle w:val="TableContents"/>
              <w:bidi w:val="0"/>
              <w:spacing w:before="0" w:after="283"/>
              <w:jc w:val="center"/>
              <w:rPr/>
            </w:pPr>
            <w:r>
              <w:rPr/>
              <w:t>F-6</w:t>
            </w:r>
          </w:p>
        </w:tc>
      </w:tr>
      <w:tr>
        <w:trPr/>
        <w:tc>
          <w:tcPr>
            <w:tcW w:w="8045" w:type="dxa"/>
            <w:tcBorders/>
            <w:vAlign w:val="center"/>
          </w:tcPr>
          <w:p>
            <w:pPr>
              <w:pStyle w:val="TableContents"/>
              <w:bidi w:val="0"/>
              <w:spacing w:before="0" w:after="283"/>
              <w:jc w:val="left"/>
              <w:rPr/>
            </w:pPr>
            <w:hyperlink w:anchor="F_006">
              <w:r>
                <w:rPr>
                  <w:rStyle w:val="InternetLink"/>
                  <w:sz w:val="20"/>
                </w:rPr>
                <w:t>Notes to Consolidated Financial Statements</w:t>
              </w:r>
            </w:hyperlink>
          </w:p>
        </w:tc>
        <w:tc>
          <w:tcPr>
            <w:tcW w:w="59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bookmarkStart w:id="28" w:name="F_001"/>
      <w:bookmarkEnd w:id="28"/>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Serve Robotics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Serve Robotics Inc. (the “Company”) as of December 31, 2023 and 2022, the related consolidated statements of operations, stockholders’ equity (deficit), and cash flows for the years ended December 31, 2023 and 2022,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the Company will continue as a going concern. As discussed in Note 2 to the financial statements, the Company’s has sustained net losses, used cash flows from operations, and requires additional capital to operate. These factors raise substantial doubt about its ability to continue as a going concern. Management’s plans in regards to these matters are also described in Note 2. The financial statements do not include any adjustments that might result from the outcome of this uncertainty.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dbb</w:t>
      </w:r>
      <w:r>
        <w:rPr>
          <w:rFonts w:ascii="Times New Roman;Times;Serif" w:hAnsi="Times New Roman;Times;Serif"/>
          <w:b w:val="false"/>
          <w:i/>
          <w:caps w:val="false"/>
          <w:smallCaps w:val="false"/>
          <w:sz w:val="20"/>
        </w:rPr>
        <w:t>mckennon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29, 2024</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2"/>
      <w:bookmarkEnd w:id="29"/>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2023 and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4"/>
        <w:gridCol w:w="60"/>
        <w:gridCol w:w="140"/>
        <w:gridCol w:w="1175"/>
        <w:gridCol w:w="95"/>
        <w:gridCol w:w="60"/>
        <w:gridCol w:w="140"/>
        <w:gridCol w:w="1175"/>
        <w:gridCol w:w="86"/>
      </w:tblGrid>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86"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86"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7274"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2,715,719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Accounts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2,955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23,697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774,349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618,262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Prepaid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676,969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81,339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1,461,029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3,439,017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Property and equipment,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48,422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3,376,427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782,439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1,215,968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Deposits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512,659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512,659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2,804,549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8,544,071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2,050,605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162,034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Accrued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255,849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37,434</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Note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Note payable - 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496,963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483,186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Lease liability, current portion</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2,363,807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2,214,348</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6,237,224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3,897,002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Note payable, net of current portion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230,933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1,214,600</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13,150,745</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Restricted stock award liability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158,617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162,747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Right of use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708,143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Lease liability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1,862,980</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20,996,217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Series Seed preferred stock, $0.0001 par value; 4,008,079¹ shares authorized, 0 and 3,091,672 shares issued and outstanding as of December 31, 2023 and 2022,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309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Series Seed-1 preferred stock, $0.0001 par value; 3,037,227¹ shares authorized, 0 and 2,440,411 shares issued and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Series Seed-2 preferred stock, $0.0001 par value; 2,599,497¹ shares authorized, 0 and 2,088,696 shares issued and outstanding as of December 31, 2023 and 2022,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209</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Series Seed-3 preferred stock, $0.0001 par value; 445,347¹ shares authorized, 0 and 357,836 shares issued and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Preferred stock, $0.0001 par value, 10,000,000 shares authorized, no shares issued or outstanding as of December 31,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Common stock, $0.0001 par value; 300,000,000 shares authorized, 24,832,814 and 7,161,654 shares issued and 24,508,795 and 6,826,352 shares outstanding as of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274" w:type="dxa"/>
            <w:tcBorders/>
            <w:vAlign w:val="center"/>
          </w:tcPr>
          <w:p>
            <w:pPr>
              <w:pStyle w:val="TableContents"/>
              <w:bidi w:val="0"/>
              <w:spacing w:before="0" w:after="283"/>
              <w:jc w:val="left"/>
              <w:rPr/>
            </w:pPr>
            <w:r>
              <w:rPr/>
              <w:t>Additional paid-in capital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64,468,141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31,232,737</w:t>
            </w:r>
          </w:p>
        </w:tc>
        <w:tc>
          <w:tcPr>
            <w:tcW w:w="86" w:type="dxa"/>
            <w:tcBorders/>
            <w:vAlign w:val="center"/>
          </w:tcPr>
          <w:p>
            <w:pPr>
              <w:pStyle w:val="TableContents"/>
              <w:bidi w:val="0"/>
              <w:spacing w:before="0" w:after="283"/>
              <w:ind w:left="0" w:right="0" w:hanging="180"/>
              <w:jc w:val="left"/>
              <w:rPr/>
            </w:pPr>
            <w:r>
              <w:rPr/>
              <w:t> </w:t>
            </w:r>
          </w:p>
        </w:tc>
      </w:tr>
      <w:tr>
        <w:trPr/>
        <w:tc>
          <w:tcPr>
            <w:tcW w:w="7274"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(169,616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(165,719</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274" w:type="dxa"/>
            <w:tcBorders/>
            <w:vAlign w:val="center"/>
          </w:tcPr>
          <w:p>
            <w:pPr>
              <w:pStyle w:val="TableContents"/>
              <w:bidi w:val="0"/>
              <w:spacing w:before="0" w:after="283"/>
              <w:jc w:val="left"/>
              <w:rPr/>
            </w:pPr>
            <w:r>
              <w:rPr/>
              <w:t>Accumulated deficit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(68,334,381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(43,520,645</w:t>
            </w:r>
          </w:p>
        </w:tc>
        <w:tc>
          <w:tcPr>
            <w:tcW w:w="86" w:type="dxa"/>
            <w:tcBorders/>
            <w:vAlign w:val="center"/>
          </w:tcPr>
          <w:p>
            <w:pPr>
              <w:pStyle w:val="TableContents"/>
              <w:bidi w:val="0"/>
              <w:spacing w:before="0" w:after="283"/>
              <w:ind w:left="0" w:right="0" w:hanging="180"/>
              <w:jc w:val="left"/>
              <w:rPr/>
            </w:pPr>
            <w:r>
              <w:rPr/>
              <w:t>)</w:t>
            </w:r>
          </w:p>
        </w:tc>
      </w:tr>
      <w:tr>
        <w:trPr/>
        <w:tc>
          <w:tcPr>
            <w:tcW w:w="7274"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(4,033,406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(12,452,146</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274" w:type="dxa"/>
            <w:tcBorders/>
            <w:vAlign w:val="center"/>
          </w:tcPr>
          <w:p>
            <w:pPr>
              <w:pStyle w:val="TableContents"/>
              <w:bidi w:val="0"/>
              <w:spacing w:before="0" w:after="283"/>
              <w:jc w:val="left"/>
              <w:rPr/>
            </w:pPr>
            <w:r>
              <w:rPr/>
              <w:t>Total liabilities and stockholders’ equity (deficit)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2,804,549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8,544,071</w:t>
            </w:r>
          </w:p>
        </w:tc>
        <w:tc>
          <w:tcPr>
            <w:tcW w:w="8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The authorized shares of preferred stock in the consolidated balance sheets above reflect the historical authorized shares of Serve. Upon the Merger, shares issued and outstanding have been retroactively restated to reflect the exchange ratio of 0.8035 as described in Note 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03"/>
      <w:bookmarkEnd w:id="30"/>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br/>
        <w:t>For the Years Ended December 31, 2023 and 2022</w:t>
      </w:r>
    </w:p>
    <w:p>
      <w:pPr>
        <w:pStyle w:val="TextBody"/>
        <w:bidi w:val="0"/>
        <w:spacing w:before="0" w:after="0"/>
        <w:ind w:left="0" w:right="0" w:hanging="0"/>
        <w:jc w:val="center"/>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6215"/>
        <w:gridCol w:w="60"/>
        <w:gridCol w:w="140"/>
        <w:gridCol w:w="1175"/>
        <w:gridCol w:w="95"/>
        <w:gridCol w:w="60"/>
        <w:gridCol w:w="140"/>
        <w:gridCol w:w="1175"/>
        <w:gridCol w:w="11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1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107,819</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1,730,262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1,148,426</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(1,522,717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(1,040,607</w:t>
            </w:r>
          </w:p>
        </w:tc>
        <w:tc>
          <w:tcPr>
            <w:tcW w:w="110" w:type="dxa"/>
            <w:tcBorders/>
            <w:shd w:fill="CCEEFF" w:val="clear"/>
            <w:vAlign w:val="center"/>
          </w:tcPr>
          <w:p>
            <w:pPr>
              <w:pStyle w:val="TableContents"/>
              <w:bidi w:val="0"/>
              <w:spacing w:before="0" w:after="283"/>
              <w:jc w:val="left"/>
              <w:rPr/>
            </w:pPr>
            <w:r>
              <w:rPr/>
              <w:t>)</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General and administrative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4,618,499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3,786,124</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2,564,930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2,035,063</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9,947,258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13,565,765</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605,205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525,494</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Impairment of long-lived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19,204,887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19,912,446</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(20,727,604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(20,953,053</w:t>
            </w:r>
          </w:p>
        </w:tc>
        <w:tc>
          <w:tcPr>
            <w:tcW w:w="110" w:type="dxa"/>
            <w:tcBorders/>
            <w:shd w:fill="CCEEFF" w:val="clear"/>
            <w:vAlign w:val="center"/>
          </w:tcPr>
          <w:p>
            <w:pPr>
              <w:pStyle w:val="TableContents"/>
              <w:bidi w:val="0"/>
              <w:spacing w:before="0" w:after="283"/>
              <w:jc w:val="left"/>
              <w:rPr/>
            </w:pPr>
            <w:r>
              <w:rPr/>
              <w:t>)</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Interest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(2,264,426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(636,330</w:t>
            </w:r>
          </w:p>
        </w:tc>
        <w:tc>
          <w:tcPr>
            <w:tcW w:w="110" w:type="dxa"/>
            <w:tcBorders/>
            <w:vAlign w:val="center"/>
          </w:tcPr>
          <w:p>
            <w:pPr>
              <w:pStyle w:val="TableContents"/>
              <w:bidi w:val="0"/>
              <w:spacing w:before="0" w:after="283"/>
              <w:jc w:val="left"/>
              <w:rPr/>
            </w:pPr>
            <w:r>
              <w:rPr/>
              <w:t>)</w:t>
            </w:r>
          </w:p>
        </w:tc>
      </w:tr>
      <w:tr>
        <w:trPr/>
        <w:tc>
          <w:tcPr>
            <w:tcW w:w="6215"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Change in fair value of simple agreements for future equity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(1,672,706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(265,744</w:t>
            </w:r>
          </w:p>
        </w:tc>
        <w:tc>
          <w:tcPr>
            <w:tcW w:w="110" w:type="dxa"/>
            <w:tcBorders/>
            <w:vAlign w:val="center"/>
          </w:tcPr>
          <w:p>
            <w:pPr>
              <w:pStyle w:val="TableContents"/>
              <w:bidi w:val="0"/>
              <w:spacing w:before="0" w:after="283"/>
              <w:jc w:val="left"/>
              <w:rPr/>
            </w:pPr>
            <w:r>
              <w:rPr/>
              <w:t>)</w:t>
            </w:r>
          </w:p>
        </w:tc>
      </w:tr>
      <w:tr>
        <w:trPr/>
        <w:tc>
          <w:tcPr>
            <w:tcW w:w="6215"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(4,086,132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(902,074</w:t>
            </w:r>
          </w:p>
        </w:tc>
        <w:tc>
          <w:tcPr>
            <w:tcW w:w="110" w:type="dxa"/>
            <w:tcBorders/>
            <w:shd w:fill="CCEEFF" w:val="clear"/>
            <w:vAlign w:val="center"/>
          </w:tcPr>
          <w:p>
            <w:pPr>
              <w:pStyle w:val="TableContents"/>
              <w:bidi w:val="0"/>
              <w:spacing w:before="0" w:after="283"/>
              <w:jc w:val="left"/>
              <w:rPr/>
            </w:pPr>
            <w:r>
              <w:rPr/>
              <w:t>)</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(24,813,736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(21,855,127</w:t>
            </w:r>
          </w:p>
        </w:tc>
        <w:tc>
          <w:tcPr>
            <w:tcW w:w="110" w:type="dxa"/>
            <w:tcBorders/>
            <w:vAlign w:val="center"/>
          </w:tcPr>
          <w:p>
            <w:pPr>
              <w:pStyle w:val="TableContents"/>
              <w:bidi w:val="0"/>
              <w:spacing w:before="0" w:after="283"/>
              <w:jc w:val="left"/>
              <w:rPr/>
            </w:pPr>
            <w:r>
              <w:rPr/>
              <w:t>)</w:t>
            </w:r>
          </w:p>
        </w:tc>
      </w:tr>
      <w:tr>
        <w:trPr/>
        <w:tc>
          <w:tcPr>
            <w:tcW w:w="6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Weighted average common shares outstanding - basic and diluted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14,204,078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6,896,769</w:t>
            </w:r>
          </w:p>
        </w:tc>
        <w:tc>
          <w:tcPr>
            <w:tcW w:w="110"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Net loss per common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(3.17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_004"/>
      <w:bookmarkEnd w:id="31"/>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11780" w:type="dxa"/>
        <w:jc w:val="left"/>
        <w:tblInd w:w="0" w:type="dxa"/>
        <w:tblLayout w:type="fixed"/>
        <w:tblCellMar>
          <w:top w:w="0" w:type="dxa"/>
          <w:left w:w="0" w:type="dxa"/>
          <w:bottom w:w="0" w:type="dxa"/>
          <w:right w:w="0" w:type="dxa"/>
        </w:tblCellMar>
      </w:tblPr>
      <w:tblGrid>
        <w:gridCol w:w="845"/>
        <w:gridCol w:w="60"/>
        <w:gridCol w:w="60"/>
        <w:gridCol w:w="650"/>
        <w:gridCol w:w="65"/>
        <w:gridCol w:w="60"/>
        <w:gridCol w:w="119"/>
        <w:gridCol w:w="366"/>
        <w:gridCol w:w="65"/>
        <w:gridCol w:w="60"/>
        <w:gridCol w:w="60"/>
        <w:gridCol w:w="650"/>
        <w:gridCol w:w="65"/>
        <w:gridCol w:w="60"/>
        <w:gridCol w:w="119"/>
        <w:gridCol w:w="366"/>
        <w:gridCol w:w="65"/>
        <w:gridCol w:w="60"/>
        <w:gridCol w:w="60"/>
        <w:gridCol w:w="650"/>
        <w:gridCol w:w="65"/>
        <w:gridCol w:w="60"/>
        <w:gridCol w:w="119"/>
        <w:gridCol w:w="366"/>
        <w:gridCol w:w="65"/>
        <w:gridCol w:w="60"/>
        <w:gridCol w:w="60"/>
        <w:gridCol w:w="545"/>
        <w:gridCol w:w="65"/>
        <w:gridCol w:w="60"/>
        <w:gridCol w:w="148"/>
        <w:gridCol w:w="337"/>
        <w:gridCol w:w="65"/>
        <w:gridCol w:w="60"/>
        <w:gridCol w:w="60"/>
        <w:gridCol w:w="680"/>
        <w:gridCol w:w="65"/>
        <w:gridCol w:w="60"/>
        <w:gridCol w:w="103"/>
        <w:gridCol w:w="382"/>
        <w:gridCol w:w="65"/>
        <w:gridCol w:w="60"/>
        <w:gridCol w:w="95"/>
        <w:gridCol w:w="680"/>
        <w:gridCol w:w="65"/>
        <w:gridCol w:w="60"/>
        <w:gridCol w:w="116"/>
        <w:gridCol w:w="669"/>
        <w:gridCol w:w="65"/>
        <w:gridCol w:w="60"/>
        <w:gridCol w:w="95"/>
        <w:gridCol w:w="725"/>
        <w:gridCol w:w="65"/>
        <w:gridCol w:w="60"/>
        <w:gridCol w:w="103"/>
        <w:gridCol w:w="787"/>
        <w:gridCol w:w="80"/>
      </w:tblGrid>
      <w:tr>
        <w:trPr/>
        <w:tc>
          <w:tcPr>
            <w:tcW w:w="84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Seed</w:t>
              <w:br/>
              <w:t>Preferred Stock</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Seed-1</w:t>
              <w:br/>
              <w:t>Preferred Stock</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Seed-2</w:t>
              <w:br/>
              <w:t>Preferred Stock</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Seed-3</w:t>
              <w:br/>
              <w:t>Preferred Stock</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Common Stock</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br/>
              <w:t>Paid-in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Subscription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br/>
              <w:t>Stockholders’</w:t>
            </w:r>
          </w:p>
        </w:tc>
        <w:tc>
          <w:tcPr>
            <w:tcW w:w="8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Capital</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Receivable</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Deficit</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12" w:space="0" w:color="000000"/>
            </w:tcBorders>
            <w:tcMar>
              <w:bottom w:w="3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Equity (Deficit)</w:t>
            </w:r>
          </w:p>
        </w:tc>
        <w:tc>
          <w:tcPr>
            <w:tcW w:w="8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Balances at 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2,834,033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2,440,411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2,088,696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357,836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7,111,123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711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29,984,430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(21,665,518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8,320,395</w:t>
            </w:r>
          </w:p>
        </w:tc>
        <w:tc>
          <w:tcPr>
            <w:tcW w:w="8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Series Seed 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257,639</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999,973</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999,999</w:t>
            </w:r>
          </w:p>
        </w:tc>
        <w:tc>
          <w:tcPr>
            <w:tcW w:w="8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Restricted stock awards repurchased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(287,591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Vested restricted stock purchased with recourse 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2,820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4,250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(165,719</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(161,469</w:t>
            </w:r>
          </w:p>
        </w:tc>
        <w:tc>
          <w:tcPr>
            <w:tcW w:w="8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Warrants issued in connection with note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49,000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49,000</w:t>
            </w:r>
          </w:p>
        </w:tc>
        <w:tc>
          <w:tcPr>
            <w:tcW w:w="8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Stock-based 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195,056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195,056</w:t>
            </w:r>
          </w:p>
        </w:tc>
        <w:tc>
          <w:tcPr>
            <w:tcW w:w="8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(21,855,127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(21,855,127</w:t>
            </w:r>
          </w:p>
        </w:tc>
        <w:tc>
          <w:tcPr>
            <w:tcW w:w="8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Balances at December 31, 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3,091,672</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309</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2,440,411</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244</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2,088,696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209</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357,836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6,826,352</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683</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31,232,737</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(165,719</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(43,520,645</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(12,452,146</w:t>
            </w:r>
          </w:p>
        </w:tc>
        <w:tc>
          <w:tcPr>
            <w:tcW w:w="8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common stock pursuant to private placement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3,040,140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12,160,256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12,160,560</w:t>
            </w:r>
          </w:p>
        </w:tc>
        <w:tc>
          <w:tcPr>
            <w:tcW w:w="8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Conversion of convertible note and derivative into common stock in connection with Merger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937,961</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94</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3,751,781</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3,751,875</w:t>
            </w:r>
          </w:p>
        </w:tc>
        <w:tc>
          <w:tcPr>
            <w:tcW w:w="8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Conversion of SAFEs into common stock in connection with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4,372,601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17,489,967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17,490,404</w:t>
            </w:r>
          </w:p>
        </w:tc>
        <w:tc>
          <w:tcPr>
            <w:tcW w:w="8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Conversion of preferred stock into common stock in connection with Merger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(3,091,672</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(309</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(2,440,411</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(244</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(2,088,696</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(209</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(357,836</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7,978,616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798</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Patricia shares converted into common stock upon the Merger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common stock pursuant to private placement offering, net of offering costs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143,531</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574,110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574,124</w:t>
            </w:r>
          </w:p>
        </w:tc>
        <w:tc>
          <w:tcPr>
            <w:tcW w:w="8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Vested restricted stock purchased with recourse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11,194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13,735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(3,897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9,838</w:t>
            </w:r>
          </w:p>
        </w:tc>
        <w:tc>
          <w:tcPr>
            <w:tcW w:w="8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Restricted stock awards repurchased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(319,118</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w:t>
            </w:r>
          </w:p>
        </w:tc>
        <w:tc>
          <w:tcPr>
            <w:tcW w:w="8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Warrants issued with convertible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991,000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991,000</w:t>
            </w:r>
          </w:p>
        </w:tc>
        <w:tc>
          <w:tcPr>
            <w:tcW w:w="8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Exercise of warrants upon the Merger</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9" w:type="dxa"/>
            <w:tcBorders/>
            <w:vAlign w:val="center"/>
          </w:tcPr>
          <w:p>
            <w:pPr>
              <w:pStyle w:val="TableContents"/>
              <w:bidi w:val="0"/>
              <w:spacing w:before="0" w:after="283"/>
              <w:jc w:val="righ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9" w:type="dxa"/>
            <w:tcBorders/>
            <w:vAlign w:val="center"/>
          </w:tcPr>
          <w:p>
            <w:pPr>
              <w:pStyle w:val="TableContents"/>
              <w:bidi w:val="0"/>
              <w:spacing w:before="0" w:after="283"/>
              <w:jc w:val="righ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9" w:type="dxa"/>
            <w:tcBorders/>
            <w:vAlign w:val="center"/>
          </w:tcPr>
          <w:p>
            <w:pPr>
              <w:pStyle w:val="TableContents"/>
              <w:bidi w:val="0"/>
              <w:spacing w:before="0" w:after="283"/>
              <w:jc w:val="righ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48" w:type="dxa"/>
            <w:tcBorders/>
            <w:vAlign w:val="center"/>
          </w:tcPr>
          <w:p>
            <w:pPr>
              <w:pStyle w:val="TableContents"/>
              <w:bidi w:val="0"/>
              <w:spacing w:before="0" w:after="283"/>
              <w:jc w:val="righ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8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17,518</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03" w:type="dxa"/>
            <w:tcBorders/>
            <w:vAlign w:val="center"/>
          </w:tcPr>
          <w:p>
            <w:pPr>
              <w:pStyle w:val="TableContents"/>
              <w:bidi w:val="0"/>
              <w:spacing w:before="0" w:after="283"/>
              <w:jc w:val="righ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6" w:type="dxa"/>
            <w:tcBorders/>
            <w:vAlign w:val="center"/>
          </w:tcPr>
          <w:p>
            <w:pPr>
              <w:pStyle w:val="TableContents"/>
              <w:bidi w:val="0"/>
              <w:spacing w:before="0" w:after="283"/>
              <w:jc w:val="righ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03" w:type="dxa"/>
            <w:tcBorders/>
            <w:vAlign w:val="center"/>
          </w:tcPr>
          <w:p>
            <w:pPr>
              <w:pStyle w:val="TableContents"/>
              <w:bidi w:val="0"/>
              <w:spacing w:before="0" w:after="283"/>
              <w:jc w:val="righ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0" w:type="dxa"/>
            <w:tcBorders/>
            <w:vAlign w:val="center"/>
          </w:tcPr>
          <w:p>
            <w:pPr>
              <w:pStyle w:val="TableContents"/>
              <w:bidi w:val="0"/>
              <w:spacing w:before="0" w:after="283"/>
              <w:ind w:left="0" w:right="0" w:hanging="180"/>
              <w:jc w:val="right"/>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544,375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544,375</w:t>
            </w:r>
          </w:p>
        </w:tc>
        <w:tc>
          <w:tcPr>
            <w:tcW w:w="8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Offering costs consists in connection with issuance of common stock pursuant to Merger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33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38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(2,289,697</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(2,289,697</w:t>
            </w:r>
          </w:p>
        </w:tc>
        <w:tc>
          <w:tcPr>
            <w:tcW w:w="8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(24,813,736</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(24,813,736</w:t>
            </w:r>
          </w:p>
        </w:tc>
        <w:tc>
          <w:tcPr>
            <w:tcW w:w="8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Balances at December 31, 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6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6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6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3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24,508,795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8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64,468,141</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(169,616</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(68,334,381</w:t>
            </w:r>
          </w:p>
        </w:tc>
        <w:tc>
          <w:tcPr>
            <w:tcW w:w="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(4,033,406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F_005"/>
      <w:bookmarkEnd w:id="32"/>
      <w:r>
        <w:rPr>
          <w:rFonts w:ascii="Times New Roman;Times;Serif" w:hAnsi="Times New Roman;Times;Serif"/>
          <w:b/>
          <w:i w:val="false"/>
          <w:caps w:val="false"/>
          <w:smallCaps w:val="false"/>
          <w:sz w:val="20"/>
        </w:rPr>
        <w:t>Serve Robotics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(24,813,736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(21,855,127</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Adjustments to reconcile net loss to net cash used in operating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1,863,924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388,139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544,375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195,056</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Change in fair value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265,744</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Amortization of debt discount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1,811,798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13,600</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Impairment of long-lived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1,468,995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Interest on recourse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Changes in operating assets and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(23,697</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Inventory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(156,087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(154,840</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(595,630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(81,339</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11,163</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1,888,568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(174,278</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Accrued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228,020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37,434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Right of use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(49,656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(24,641</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Net cash used in operating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(15,970,878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(21,402,786</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Purchase of property and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(4,914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(3,644,950</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(416,012</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Net cash used in investing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(4,914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(4,060,962</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Proceeds from simple agreement for future equity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2,666,953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12,885,001</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Proceeds from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2,500,000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Repayments of notes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(1,750,000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(250,000</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Proceeds from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2,798,410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Proceeds from notes payable, 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519,000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Repayments of notes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Proceeds from lease liability financing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4,455,852</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Repayment of lease liability financing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(1,713,518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(378,524</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vAlign w:val="center"/>
          </w:tcPr>
          <w:p>
            <w:pPr>
              <w:pStyle w:val="TableContents"/>
              <w:bidi w:val="0"/>
              <w:spacing w:before="0" w:after="283"/>
              <w:jc w:val="left"/>
              <w:rPr/>
            </w:pPr>
            <w:r>
              <w:rPr/>
              <w:t>Issuance of restricted common stock, net of repurchases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1,278</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Issuance of common stock pursuant to Merger and private placement, net of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10,444,987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Issuance of Series Seed preferred stock</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999,999</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13,266,829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20,213,606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Net change in cash and cash equivalents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(2,708,963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(5,250,142</w:t>
            </w:r>
          </w:p>
        </w:tc>
        <w:tc>
          <w:tcPr>
            <w:tcW w:w="110" w:type="dxa"/>
            <w:tcBorders/>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2,715,719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7,965,861</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Cash and cash equivalents at end of year</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6,756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tcMar>
              <w:bottom w:w="28" w:type="dxa"/>
            </w:tcMar>
            <w:vAlign w:val="center"/>
          </w:tcPr>
          <w:p>
            <w:pPr>
              <w:pStyle w:val="TableContents"/>
              <w:bidi w:val="0"/>
              <w:spacing w:before="0" w:after="283"/>
              <w:jc w:val="right"/>
              <w:rPr/>
            </w:pPr>
            <w:r>
              <w:rPr/>
              <w:t>2,715,719</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Cash paid for interest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507,193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622,730</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Supplemental disclosure of non-cash investing and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Restricted stock award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162,747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Derivative liability in connection with convertible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601,000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Debt discount issued as accrued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Conversion of simple agreement for future equity into 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17,490,404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Conversion of convertible note and derivative into common stock in connection with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3,751,875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Warrants issued in connection with note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991,000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49,000</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165,719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F_006"/>
      <w:bookmarkEnd w:id="33"/>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5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OPERATIONS, HISTORY, ORGANIZATION AND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Operating Co. (formerly known as Serve Robotics Inc.) (the “Company” or “Serve”) is a corporation formed on January 15, 2021 under the laws of the State of Delaware. The Company is developing next generation robots for last-mile delivery services. The Company is headquartered in Redwood City, California.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Company entered into a contribution and license agreement with Postmates, LLC, a Delaware limited liability company (“Postmates”). Pursuant to the agreement, Postmates transferred over certain contracts and agreements, intellectual property and patents and hardware and equipment to the Company. As the contribution was without consideration, the agreement did not have any effect on the Company’s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Patricia’s wholly-owned subsidiary, Serve Acquisition Corp., a corporation formed in the State of Delaware on July 10, 2023 (“Acquisition Sub”), merged with and into the Company. Pursuant to this transaction (the “Merger”), the Company was the surviving corporation and became Patricia’s wholly owned subsidiary, and all of the outstanding stock of Serve was converted into shares of Patricia’s common stock. All of Serve’s outstanding warrants and options were assumed by Patricia. In addition, on July 31, 2023, the board of directors of Patricia Acquisition Corp., a Delaware corporation incorporated on November 9, 2020 (“Patricia”) and all of its pre-Merger stockholders approved a restated certificate of incorporation, which was effective upon its filing with the Secretary of State of the State of Delaware on July 31, 2023, and through which Patricia changed its name to “Serve Robotics Inc.” Following the consummation of the Merger, Serve changed its name to “Serve Operating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Patricia acquired the business of Serve and will continue the existing business operations of Serve as a public reporting company under the name Serve Robotics Inc. In accordance with “reverse merger” or “reverse acquisition” accounting treatment, the Company was determined the accounting acquirer. Patricia’s historical financial statements before the Merger has been replaced with the historical financial statements of Serve before the Merger in filings with the SEC since the Merger unless otherwise noted.</w:t>
      </w:r>
    </w:p>
    <w:p>
      <w:pPr>
        <w:pStyle w:val="TextBody"/>
        <w:bidi w:val="0"/>
        <w:spacing w:before="0" w:after="0"/>
        <w:ind w:left="0" w:right="0" w:hanging="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0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2075" w:type="dxa"/>
            <w:tcBorders/>
            <w:vAlign w:val="center"/>
          </w:tcPr>
          <w:p>
            <w:pPr>
              <w:pStyle w:val="TableContents"/>
              <w:bidi w:val="0"/>
              <w:spacing w:before="0" w:after="283"/>
              <w:jc w:val="both"/>
              <w:rPr/>
            </w:pPr>
            <w:r>
              <w:rPr/>
              <w:t>GOING CONCERN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Company sustained net losses of $24,813,736 and $21,855,127 during the years ended December 31, 2023 and 2022, respectively, and had cash used in operations of $15,970,878 during the year ended December 31, 2023. The Company requires additional capital to operate and expects losses to continue for the foreseeable future. These factors raise substantial doubts about the Company’s ability to continue as a 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until it reaches profitability is dependent upon its ability to generate cash from operating activities and to raise additional capital to fund operations. Management plans to raise additional capital to fund operations through debt and/or equity financings. Through the issuance date of the consolidated financial statements, the Company has raised $5.0 million in convertible promissory notes (see Note 13). Our failure to raise additional capital could have a negative impact on not only our financial condition but also our ability to execute our business plan. No assurance can be given that the Company will be successful in these efforts. The financial statements do not include any adjustments that might result from the outcome of this uncertainty. The Company may not be able to obtain financing on acceptable terms, or at all.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0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905" w:type="dxa"/>
            <w:tcBorders/>
            <w:vAlign w:val="center"/>
          </w:tcPr>
          <w:p>
            <w:pPr>
              <w:pStyle w:val="TableContents"/>
              <w:bidi w:val="0"/>
              <w:spacing w:before="0" w:after="283"/>
              <w:jc w:val="both"/>
              <w:rPr/>
            </w:pPr>
            <w:r>
              <w:rPr/>
              <w:t>REVERSE MERGER ACCOUNTING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Acquisition Sub, merged with and into the Company. Pursuant to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accounted for as a reverse-merger, and recapitalization in accordance with generally accepted accounting principles in the United States (“GAAP”). Serve Robotics Inc. was the acquirer for financial reporting purposes and Patricia was the acquired company. Consequently, the assets and liabilities and the operations that are reflected in the historical financial statements prior to the merger are those of Serve Robotics Inc. and have been recorded at the historical cost basis of Serve Robotics Inc., and the financial statements after completion of the merger include the assets and liabilities of Patricia and Serve Robotics Inc., historical operations of Serve Robotics Inc. and operations of Patricia from the closing date of the merger. Common stock and the corresponding capital amounts of Patricia pre-merger were retroactively restated as capital stock shares reflecting the exchange ratio in the merger. In conjunction with the merger, the Company received no cash and assumed no liabilities from Patricia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There was no effect on the number of shares of common stock or preferred stock authorized for issuance under the Company’s certificate of incorporation or the par value of such securities.</w:t>
      </w:r>
    </w:p>
    <w:p>
      <w:pPr>
        <w:pStyle w:val="TextBody"/>
        <w:bidi w:val="0"/>
        <w:spacing w:before="0" w:after="0"/>
        <w:ind w:left="0" w:right="0" w:hanging="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0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080" w:type="dxa"/>
            <w:tcBorders/>
            <w:vAlign w:val="center"/>
          </w:tcPr>
          <w:p>
            <w:pPr>
              <w:pStyle w:val="TableContents"/>
              <w:bidi w:val="0"/>
              <w:spacing w:before="0" w:after="283"/>
              <w:jc w:val="both"/>
              <w:rPr/>
            </w:pPr>
            <w:r>
              <w:rPr/>
              <w:t>SUMMARY OF SIGNIFICANT ACCOUNTING POLICIES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and reporting policies of the Company conform to GAAP. The Company’s fiscal year is December 31.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include the accounts of the Company and its wholly-owned subsidiaries, Serve Operating Co. and Serve Robotics Canada Inc. All inter-company transactions and balances have been eliminated on consolidation.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impairment of long-lived assets, right-of-use assets and liabilities, stock-based compensation and allocation of costs of revenue.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As of December 31, 2023 and 2022, the Company’s cash and cash equivalents were held at one accredited financial institution.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one customer accounted for 71% and 50% of revenue, respectively. The loss of this customer may have a material effect on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maturities of three months or less at the date of purchase to be cash equivalents.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Level 1—Quoted prices in active markets for identical assets or liabilities.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Company’s accounts receivable, prepaid expenses and accounts payable and accrued expenses approximate their fair values due to the short-term nature of these assets and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5 and 8 for fair value disclosures of future equity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Accounts Receivable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services delivered to customers and are stated at their net realizable value. The Company accounts for allowance for doubtful accounts under Accounting Standards Codification (“ASC”) 310-10-35.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December 31, 2023 and 2022, the Company determined there was no allowance for doubtful accounts necessary.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or market value and accounted for using the specific identification cost method. As of December 31, 2023 and 2022, inventory primarily consists of robotic component parts from the Company’s suppliers. Management reviews its inventory for obsolescence and impairment annually and did not record a reserve for obsolete inventory for the years ended December 31, 2023 and 2022.</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Depreciation expense is recognized using the straight-line method over the estimated useful life of the asset, which is three (3) to five (5) years for office equipment and two (2)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long-lived assets in accordance with the provisions of ASC 360-10-35, </w:t>
      </w:r>
      <w:r>
        <w:rPr>
          <w:rFonts w:ascii="Times New Roman;Times;Serif" w:hAnsi="Times New Roman;Times;Serif"/>
          <w:b w:val="false"/>
          <w:i/>
          <w:caps w:val="false"/>
          <w:smallCaps w:val="false"/>
          <w:sz w:val="20"/>
        </w:rPr>
        <w:t>Property, Plant and Equipment, Impairment or Disposal of Long-lived Assets. </w:t>
      </w:r>
      <w:r>
        <w:rPr>
          <w:rFonts w:ascii="Times New Roman;Times;Serif" w:hAnsi="Times New Roman;Times;Serif"/>
          <w:b w:val="false"/>
          <w:i w:val="false"/>
          <w:caps w:val="false"/>
          <w:smallCaps w:val="false"/>
          <w:sz w:val="20"/>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management determined that certain events and circumstances occurred that indicated that the carrying value of the Company’s robot assets may not be recoverable. Based on the undiscounted cash flows over the remaining depreciable life, management determined an impairment of the remaining carrying value totaling $1,468,995 was necessary.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Offering Costs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December 31, 2023 and 2022, there were no deferred offering costs.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Receivable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stock issuances at the effective date. If the subscription is not funded upon issuance, the Company records a subscription receivable as an asset on a balance sheet, except when subscription receivable is not received prior to the issuance of financial statements at a reporting date in satisfaction of the requirements under ASC 505-10-45-2, in which case, the subscription is reclassified as a contra account to stockholders’ equity (deficit) on the consolidated balance sheet.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Preferred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480, Distinguishing Liabilities from Equity, includes standards for how an issuer of equity (including equity shares issued by consolidated entities) classifies and measures on its consolidated balance sheet certain financial instruments with characteristics of both liabilities and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Derivatives and Hedging, is not required. Management determined that the host contract of the preferred stock is more akin to equity, and accordingly, liability accounting is not required by the Company. The Company has presented preferred stock within stockholders’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directly for the issuance of the preferred stock are recorded as a reduction of gross proceeds received by the Company, resulting in a discount to the preferred stock. The discount is not amortized.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Stock-Based Compensation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ASC 718, Compensation - Stock Compensation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statement of operations in the same manner in which the award recipient’s payroll costs are classified or in which the award recipient’s service payments are classified.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Recognition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under ASC 606</w:t>
      </w:r>
      <w:r>
        <w:rPr>
          <w:rFonts w:ascii="Times New Roman;Times;Serif" w:hAnsi="Times New Roman;Times;Serif"/>
          <w:b w:val="false"/>
          <w:i/>
          <w:caps w:val="false"/>
          <w:smallCaps w:val="false"/>
          <w:sz w:val="20"/>
        </w:rPr>
        <w:t>, Revenue from Contracts with Customers</w:t>
      </w:r>
      <w:r>
        <w:rPr>
          <w:rFonts w:ascii="Times New Roman;Times;Serif" w:hAnsi="Times New Roman;Times;Serif"/>
          <w:b w:val="false"/>
          <w:i w:val="false"/>
          <w:caps w:val="false"/>
          <w:smallCaps w:val="false"/>
          <w:sz w:val="20"/>
        </w:rPr>
        <w:t>.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Identification of a contract with a customer;</w:t>
            </w:r>
          </w:p>
        </w:tc>
      </w:tr>
    </w:tbl>
    <w:p>
      <w:pPr>
        <w:pStyle w:val="TextBody"/>
        <w:bidi w:val="0"/>
        <w:spacing w:before="0" w:after="0"/>
        <w:ind w:left="0" w:right="0" w:firstLine="5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Identification of the performance obligations in the contract;</w:t>
            </w:r>
          </w:p>
        </w:tc>
      </w:tr>
    </w:tbl>
    <w:p>
      <w:pPr>
        <w:pStyle w:val="TextBody"/>
        <w:bidi w:val="0"/>
        <w:spacing w:before="0" w:after="0"/>
        <w:ind w:left="0" w:right="0" w:firstLine="5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17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pPr>
            <w:r>
              <w:rPr/>
              <w:t>Determination of the transaction price;</w:t>
            </w:r>
          </w:p>
        </w:tc>
      </w:tr>
    </w:tbl>
    <w:p>
      <w:pPr>
        <w:pStyle w:val="TextBody"/>
        <w:bidi w:val="0"/>
        <w:spacing w:before="0" w:after="0"/>
        <w:ind w:left="0" w:right="0" w:firstLine="5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t>Allocation of the transaction price to the performance obligations in the contract; and</w:t>
            </w:r>
          </w:p>
        </w:tc>
      </w:tr>
    </w:tbl>
    <w:p>
      <w:pPr>
        <w:pStyle w:val="TextBody"/>
        <w:bidi w:val="0"/>
        <w:spacing w:before="0" w:after="0"/>
        <w:ind w:left="0" w:right="0" w:firstLine="50"/>
        <w:jc w:val="both"/>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17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Recognition of revenue when or as the performance obligations are satisfied.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delivery revenue was $146,462, branding fees were $45,250 and other revenue was $15,833, respectively. During the year ended December 31, 2022, delivery revenue was $54,423 and branding fees were $53,575,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include personnel costs and public relations expenses. Advertising costs are expensed as incurred and included in sales and marketing expenses. Advertising expense were approximately $184,000 and $128,000 for the years ended December 31, 2023 and 2022,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expenses primarily consist of costs for field operations personnel.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Costs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the research and development of the Company’s products are expensed as incurred. Research and development costs include product design, hardware and software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leases under ASC 842 – Leases. The company does not apply the recognition requirements for leases with a term of twelve months or less.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or includes an embedded lease, at inception for each contract or agreement. A contract is or contains an embedded lease if the contract meets all of the below criteria:</w:t>
      </w:r>
    </w:p>
    <w:p>
      <w:pPr>
        <w:pStyle w:val="TextBody"/>
        <w:bidi w:val="0"/>
        <w:spacing w:before="0" w:after="0"/>
        <w:ind w:left="0" w:right="0" w:hanging="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23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450" w:type="dxa"/>
            <w:tcBorders/>
            <w:vAlign w:val="center"/>
          </w:tcPr>
          <w:p>
            <w:pPr>
              <w:pStyle w:val="TableContents"/>
              <w:bidi w:val="0"/>
              <w:spacing w:before="0" w:after="283"/>
              <w:jc w:val="both"/>
              <w:rPr/>
            </w:pPr>
            <w:r>
              <w:rPr/>
              <w:t>there is an identified asset</w:t>
            </w:r>
          </w:p>
        </w:tc>
      </w:tr>
    </w:tbl>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9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7040" w:type="dxa"/>
            <w:tcBorders/>
            <w:vAlign w:val="center"/>
          </w:tcPr>
          <w:p>
            <w:pPr>
              <w:pStyle w:val="TableContents"/>
              <w:bidi w:val="0"/>
              <w:spacing w:before="0" w:after="283"/>
              <w:jc w:val="both"/>
              <w:rPr/>
            </w:pPr>
            <w:r>
              <w:rPr/>
              <w:t>the Company obtains substantially all of the economic benefits of the asset</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35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180" w:type="dxa"/>
            <w:tcBorders/>
            <w:vAlign w:val="center"/>
          </w:tcPr>
          <w:p>
            <w:pPr>
              <w:pStyle w:val="TableContents"/>
              <w:bidi w:val="0"/>
              <w:spacing w:before="0" w:after="283"/>
              <w:jc w:val="both"/>
              <w:rPr/>
            </w:pPr>
            <w:r>
              <w:rPr/>
              <w:t>the Company has the right to direct the use of the asset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 (See Note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liability method of accounting for income taxes as set forth in ASC 740, Income Taxes.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unlikely that the deferred tax assets will not be realized. We assess our income tax positions and record tax benefits for all years subject to examination based upon our evaluation of the facts, circumstances and information available at the reporting date. In accordance with ASC 740-10, for those tax positions where there is a greater than 50% likelihood that a tax benefit will be sustained, the Company’s policy will be to record the largest amount of tax benefit that is more likely than not to be realized upon ultimate settlement with a taxing authority that has full knowledge of all relevant information. For those income tax positions where there is less than 50% likelihood that a tax benefit will be sustained, no tax benefit will be recognized in the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December 31, 2023 and 2022, diluted net loss per share is the same as basic net loss per share for each year. Potentially dilutive items outstanding as of December 31, 2023 and 2022 is as follows:</w:t>
      </w:r>
    </w:p>
    <w:p>
      <w:pPr>
        <w:pStyle w:val="TextBody"/>
        <w:bidi w:val="0"/>
        <w:spacing w:before="0" w:after="0"/>
        <w:ind w:left="360" w:right="0" w:hanging="0"/>
        <w:jc w:val="both"/>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5735"/>
        <w:gridCol w:w="60"/>
        <w:gridCol w:w="60"/>
        <w:gridCol w:w="980"/>
        <w:gridCol w:w="60"/>
        <w:gridCol w:w="60"/>
        <w:gridCol w:w="60"/>
        <w:gridCol w:w="980"/>
        <w:gridCol w:w="75"/>
      </w:tblGrid>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Series Seed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3,091,672</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Series Seed-1 preferred stock (convertible 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2,440,412</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Series Seed-2 preferred stock (convertible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2,088,696</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Series Seed-3 preferred stock (convertible 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357,836</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54,203</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Preferred stock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128,819</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1,515,386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861,309</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Unvested restricted common stock</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324,019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Total potentially dilutive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2,929,677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9,022,947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in the table of December 31, 2022 are the number of shares that would be issuable upon the conversion of Simple Agreements for Future Equity, for which the number of shares are indeterminable as of December 31, 2022. Upon consummation of the Merger, all outstanding SAFEs were converted into 4,372,601 shares of common stock (see Notes 5, 8 and 9).</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all outstanding shares of preferred stock were converted into an aggregate of 7,978,616 shares of common stock. Furthermore, all outstanding warrants to purchase shares of Series Seed preferred stock were converted into 128,819 warrants to purchase shares of common stock.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pStyle w:val="TextBody"/>
        <w:bidi w:val="0"/>
        <w:spacing w:before="0" w:after="0"/>
        <w:ind w:left="0" w:right="0" w:hanging="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0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3545" w:type="dxa"/>
            <w:tcBorders/>
            <w:vAlign w:val="center"/>
          </w:tcPr>
          <w:p>
            <w:pPr>
              <w:pStyle w:val="TableContents"/>
              <w:bidi w:val="0"/>
              <w:spacing w:before="0" w:after="283"/>
              <w:jc w:val="both"/>
              <w:rPr/>
            </w:pPr>
            <w:r>
              <w:rPr/>
              <w:t>FAIR VALUE MEASUREMENTS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and liabilities subject to fair value measurements on a recurring basis and the level of inputs used for such measurements were as follows:</w:t>
      </w:r>
    </w:p>
    <w:p>
      <w:pPr>
        <w:pStyle w:val="TextBody"/>
        <w:bidi w:val="0"/>
        <w:spacing w:before="0" w:after="0"/>
        <w:ind w:left="0" w:right="0" w:hanging="0"/>
        <w:jc w:val="both"/>
        <w:rPr>
          <w:caps w:val="false"/>
          <w:smallCaps w:val="false"/>
        </w:rPr>
      </w:pPr>
      <w:r>
        <w:rPr>
          <w:caps w:val="false"/>
          <w:smallCaps w:val="false"/>
        </w:rPr>
        <w:t> </w:t>
      </w:r>
    </w:p>
    <w:tbl>
      <w:tblPr>
        <w:tblW w:w="6619" w:type="dxa"/>
        <w:jc w:val="left"/>
        <w:tblInd w:w="0" w:type="dxa"/>
        <w:tblLayout w:type="fixed"/>
        <w:tblCellMar>
          <w:top w:w="0" w:type="dxa"/>
          <w:left w:w="0" w:type="dxa"/>
          <w:bottom w:w="0" w:type="dxa"/>
          <w:right w:w="0" w:type="dxa"/>
        </w:tblCellMar>
      </w:tblPr>
      <w:tblGrid>
        <w:gridCol w:w="3320"/>
        <w:gridCol w:w="60"/>
        <w:gridCol w:w="386"/>
        <w:gridCol w:w="263"/>
        <w:gridCol w:w="122"/>
        <w:gridCol w:w="122"/>
        <w:gridCol w:w="386"/>
        <w:gridCol w:w="263"/>
        <w:gridCol w:w="122"/>
        <w:gridCol w:w="122"/>
        <w:gridCol w:w="386"/>
        <w:gridCol w:w="263"/>
        <w:gridCol w:w="122"/>
        <w:gridCol w:w="122"/>
        <w:gridCol w:w="288"/>
        <w:gridCol w:w="197"/>
        <w:gridCol w:w="75"/>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4" w:type="dxa"/>
            <w:gridSpan w:val="14"/>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 as of</w:t>
              <w:br/>
              <w:t>December 31, 2023 Using:</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122"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122"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122" w:type="dxa"/>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center"/>
              <w:rPr/>
            </w:pPr>
            <w:r>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center"/>
              <w:rPr/>
            </w:pPr>
            <w:r>
              <w:rPr/>
              <w:t> </w:t>
            </w:r>
          </w:p>
        </w:tc>
      </w:tr>
      <w:tr>
        <w:trPr/>
        <w:tc>
          <w:tcPr>
            <w:tcW w:w="3320"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Simple agreement for future equity</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2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2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2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9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Derivative liability</w:t>
            </w:r>
          </w:p>
        </w:tc>
        <w:tc>
          <w:tcPr>
            <w:tcW w:w="60"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283"/>
              <w:jc w:val="right"/>
              <w:rPr/>
            </w:pPr>
            <w:r>
              <w:rPr/>
              <w:t>-</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283"/>
              <w:jc w:val="right"/>
              <w:rPr/>
            </w:pPr>
            <w:r>
              <w:rPr/>
              <w:t>-</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283"/>
              <w:jc w:val="right"/>
              <w:rPr/>
            </w:pPr>
            <w:r>
              <w:rPr/>
              <w:t>-</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320"/>
        <w:gridCol w:w="60"/>
        <w:gridCol w:w="147"/>
        <w:gridCol w:w="607"/>
        <w:gridCol w:w="60"/>
        <w:gridCol w:w="60"/>
        <w:gridCol w:w="147"/>
        <w:gridCol w:w="607"/>
        <w:gridCol w:w="60"/>
        <w:gridCol w:w="60"/>
        <w:gridCol w:w="140"/>
        <w:gridCol w:w="1100"/>
        <w:gridCol w:w="60"/>
        <w:gridCol w:w="60"/>
        <w:gridCol w:w="140"/>
        <w:gridCol w:w="1100"/>
        <w:gridCol w:w="75"/>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as of</w:t>
              <w:br/>
              <w:t>December 31, 2022 Using:</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Simple agreement for future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13,150,745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13,150,745</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w:t>
            </w:r>
          </w:p>
        </w:tc>
        <w:tc>
          <w:tcPr>
            <w:tcW w:w="607"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13,150,745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13,150,745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Simple Agreements for Future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simple agreements for future equity (“SAFE or “SAFEs”)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settlement outcomes include unobservable Level 3 inputs.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assumed a 85% probability of a liquidity and/or equity financing events as the primary ultimate settlement outcomes of the future equity obligations. Immediately prior to the Merger, the Company revalued the remaining outstanding SAFEs using a 100% probability of an equity financing and $4.00 as the fair value of the underlying common stock (see Note 9). Upon the Merger, the SAFEs converted into 4,372,601 shares of common stock at a fair value of $17,490,404.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convertible notes, the Company recorded a derivative liability (see Note 7). The estimated fair value of the derivative liability is recorded using significant unobservable measures and other fair value inputs and is therefore classified as a Level 3 financial instrument.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liability is valued using a probability-weighted scenario analysis utilizing the terms of the notes and assumptions regarding cash settlement or conversion to equity. Immediately prior to the Merger, the Company determined a 100% probability of conversion into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changes in the fair value of our Level 3 financial instrument liabilities for the years ended December 31, 2023 and 2022:</w:t>
      </w:r>
    </w:p>
    <w:p>
      <w:pPr>
        <w:pStyle w:val="TextBody"/>
        <w:bidi w:val="0"/>
        <w:spacing w:before="0" w:after="0"/>
        <w:ind w:left="36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4610"/>
        <w:gridCol w:w="60"/>
        <w:gridCol w:w="168"/>
        <w:gridCol w:w="1412"/>
        <w:gridCol w:w="95"/>
        <w:gridCol w:w="60"/>
        <w:gridCol w:w="155"/>
        <w:gridCol w:w="975"/>
        <w:gridCol w:w="95"/>
        <w:gridCol w:w="60"/>
        <w:gridCol w:w="140"/>
        <w:gridCol w:w="1175"/>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Simple</w:t>
              <w:br/>
              <w:t>Agreement For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Embedded</w:t>
              <w:br/>
              <w:t>Derivative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Future 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r>
              <w:rPr/>
              <w:t>Issuance of simple agreements for future equity</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12,885,001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12,885,001</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r>
              <w:rPr/>
              <w:t>Change in fair value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shd w:fill="CCEEFF" w:val="clear"/>
            <w:tcMar>
              <w:bottom w:w="28" w:type="dxa"/>
            </w:tcMar>
            <w:vAlign w:val="center"/>
          </w:tcPr>
          <w:p>
            <w:pPr>
              <w:pStyle w:val="TableContents"/>
              <w:bidi w:val="0"/>
              <w:spacing w:before="0" w:after="283"/>
              <w:jc w:val="right"/>
              <w:rPr/>
            </w:pPr>
            <w:r>
              <w:rPr/>
              <w:t>265,744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265,744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Outstanding as of December 31, 2021</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13,150,745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13,150,745</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r>
              <w:rPr/>
              <w:t>Issuance of simple agreements for future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2,666,953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2,666,953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r>
              <w:rPr/>
              <w:t>Issuance of embedded derivative liability</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601,000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601,000</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r>
              <w:rPr/>
              <w:t>Change in fair value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1,672,706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1,821,706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r>
              <w:rPr/>
              <w:t>Conversion to common stock upon Merger</w:t>
            </w:r>
          </w:p>
        </w:tc>
        <w:tc>
          <w:tcPr>
            <w:tcW w:w="60" w:type="dxa"/>
            <w:tcBorders/>
            <w:vAlign w:val="center"/>
          </w:tcPr>
          <w:p>
            <w:pPr>
              <w:pStyle w:val="TableContents"/>
              <w:bidi w:val="0"/>
              <w:spacing w:before="0" w:after="283"/>
              <w:jc w:val="left"/>
              <w:rPr/>
            </w:pPr>
            <w:r>
              <w:rPr/>
              <w:t> </w:t>
            </w:r>
          </w:p>
        </w:tc>
        <w:tc>
          <w:tcPr>
            <w:tcW w:w="168"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tcMar>
              <w:bottom w:w="28" w:type="dxa"/>
            </w:tcMar>
            <w:vAlign w:val="center"/>
          </w:tcPr>
          <w:p>
            <w:pPr>
              <w:pStyle w:val="TableContents"/>
              <w:bidi w:val="0"/>
              <w:spacing w:before="0" w:after="283"/>
              <w:jc w:val="right"/>
              <w:rPr/>
            </w:pPr>
            <w:r>
              <w:rPr/>
              <w:t>(17,490,404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tcMar>
              <w:bottom w:w="28" w:type="dxa"/>
            </w:tcMar>
            <w:vAlign w:val="center"/>
          </w:tcPr>
          <w:p>
            <w:pPr>
              <w:pStyle w:val="TableContents"/>
              <w:bidi w:val="0"/>
              <w:spacing w:before="0" w:after="283"/>
              <w:jc w:val="right"/>
              <w:rPr/>
            </w:pPr>
            <w:r>
              <w:rPr/>
              <w:t>(750,000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(18,240,404</w:t>
            </w:r>
          </w:p>
        </w:tc>
        <w:tc>
          <w:tcPr>
            <w:tcW w:w="110" w:type="dxa"/>
            <w:tcBorders/>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3965" w:type="dxa"/>
            <w:tcBorders/>
            <w:vAlign w:val="center"/>
          </w:tcPr>
          <w:p>
            <w:pPr>
              <w:pStyle w:val="TableContents"/>
              <w:bidi w:val="0"/>
              <w:spacing w:before="0" w:after="283"/>
              <w:jc w:val="both"/>
              <w:rPr/>
            </w:pPr>
            <w:r>
              <w:rPr/>
              <w:t>PROPERTY AND EQUIPMENT, NET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property and equipment:</w:t>
      </w:r>
    </w:p>
    <w:p>
      <w:pPr>
        <w:pStyle w:val="TextBody"/>
        <w:bidi w:val="0"/>
        <w:spacing w:before="0" w:after="0"/>
        <w:ind w:left="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2990"/>
        <w:gridCol w:w="60"/>
        <w:gridCol w:w="140"/>
        <w:gridCol w:w="1055"/>
        <w:gridCol w:w="95"/>
        <w:gridCol w:w="60"/>
        <w:gridCol w:w="140"/>
        <w:gridCol w:w="980"/>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250,661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245,747</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Robot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2,092,293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3,561,288</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2,342,954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3,807,035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Less: accumulated depreciation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(2,294,532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(430,608</w:t>
            </w:r>
          </w:p>
        </w:tc>
        <w:tc>
          <w:tcPr>
            <w:tcW w:w="110" w:type="dxa"/>
            <w:tcBorders/>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3,376,427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$1,863,924 and $388,139 for the years ended December 31, 2023 and 2022,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fully impaired the carrying amount of the robot assets pursuant to its annual impairment assessment. The Company recorded an impairment expense of $1,468,995.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20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1895" w:type="dxa"/>
            <w:tcBorders/>
            <w:vAlign w:val="center"/>
          </w:tcPr>
          <w:p>
            <w:pPr>
              <w:pStyle w:val="TableContents"/>
              <w:bidi w:val="0"/>
              <w:spacing w:before="0" w:after="283"/>
              <w:jc w:val="both"/>
              <w:rPr/>
            </w:pPr>
            <w:r>
              <w:rPr/>
              <w:t>NOTE PAYABLE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Silicon Valley Bank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Company entered into a promissory note with Silicon Valley Bank (“SVB”) for a principal amount of $2,500,000. The note matures on March 1, 2025 and bears interest at the greater of 3.25% or prime rate. The loan had interest-only payments through September 2022, and then requires monthly principal payments of $83,333, plus interest, beginning October 2022. During the years ended December 31, 2023 and 2022, the Company made repayments of $1,000,000 and $250,000, and $1,250,000 and $2,250,000 remained outstanding, all respectively. Interest expense was $72,639 and $58,463 for the years ended December 31, 2023 and 2022, respectively, all of which were paid. The note is subject to subordination related to financed assets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note, the Company issued SVB 40,292 warrants to purchase common stock. The warrants have an exercise price of $0.49 per share, are immediately exercisable and have a term of 12 years. The fair value of the warrant was $49,000, which was recognized as a debt discount and will be amortized to interest expense over the life of the note. During the years ended December 31, 2023 and 2022, amortization of debt discount was $16,333 and $13,600, respectively. During 2023, SVB exercised 40,292 warrants through a cashless exercise, which resulted in the issuance of 17,518 shares of the Company’s common stock.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note payable, net of unamortized discount of $19,067 and $35,400, was $1,230,933 and 2,214,600, all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 the Company received $750,000 in proceeds from short-term notes. The loans accrued interest on the unpaid principal amount at a rate of 18% per annum. Each holder of the notes (with the exception of one) was entitled to an exit fee equal to 16% of the stated principal amount of such holder’s note, less the total amount of interest that accrued on such note prior to the closing of the Merger (the “Exit Fee”). Upon the Merger, the Company fully repaid the notes and exit fee for a total of $870,015.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 Payable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entered into bridge financing totaling $3,001,500 in principal for which the Company received $2,798,410 in net proceeds (the “April Notes”), after deducting offering costs of $203,090. The April Notes bore interest at 10% per annum and were payable six months from the date of the bridge financing, subject to conversion. The April Notes were convertible into shares of common stock at a conversion price equal to 80% of the price per the PIPE offering (the “Private Placement”), which initially closed simultaneously with the Merger on July 31, 2023 (see Note 9). Upon the closing of the Merger and the initial closing of the Private Placement, the outstanding principal amount of the Bridge Notes was automatically converted into 937,961 shares of common stock at a conversion price of $3.20 per share. Furthermore, accrued interest on the April Notes were forgiven; therefore, no interest was recognized as of the closing of the Merger.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terms of the conversion features of the April Notes as noted above in accordance with ASC Topic No. 815 – 40, Derivatives and Hedging – Contracts in Entity’s Own Stock, and determined they are not indexed to the Company’s common stock and that the conversion feature, which is akin to a redemption feature, meet the definition of a liability. The notes contain an indeterminate number of shares to settle with conversion options outside of the Company’s control. Therefore, the Company bifurcated the conversion feature and accounted for it as a separate derivative liability. Upon issuance of the April Notes, the Company recognized a derivative liability at a fair value of $601,000 (see Note 5), which was recorded as a debt discount and was amortized over the life of the notes. Upon the Merger and the Private Placement, the derivative liability had a fair value of $750,000, which was recorded to additional paid-in capital in connection with the conversion of the underlying notes.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amortized $804,465 of the debt discount to interest expense. Upon the Merger, the outstanding balances were converted to 937,961 shares of common stock, and there were no remaining balances due.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Notes, the Company recorded a charge of $991,000 based on contingent warrants issued upon conversion. See Note 10.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Payable – Related Party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and July 2023, the Company issued senior secured promissory notes with its Chief Executive Officer for which the Company received $449,000 in proceeds. The notes bore interest at 7.67% per annum.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notes, the Company agreed to pay an exit fee upon repayment of the note equal to 16% of the principal, less the total interest that accrued until repayment. Upon the Merger, the Company fully repaid the notes and exit fee for a total of $520,840.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issued a senior secured promissory note to its Chief Executive Officer for which Serve received $70,000 in proceeds. The note bore interest at 7.67% per annum. The note was outstanding as of December 31, 2023 and fully repaid on January 3, 2024.</w:t>
      </w:r>
    </w:p>
    <w:p>
      <w:pPr>
        <w:pStyle w:val="TextBody"/>
        <w:bidi w:val="0"/>
        <w:spacing w:before="0" w:after="0"/>
        <w:ind w:left="36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20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3680" w:type="dxa"/>
            <w:tcBorders/>
            <w:vAlign w:val="center"/>
          </w:tcPr>
          <w:p>
            <w:pPr>
              <w:pStyle w:val="TableContents"/>
              <w:bidi w:val="0"/>
              <w:spacing w:before="0" w:after="283"/>
              <w:jc w:val="both"/>
              <w:rPr/>
            </w:pPr>
            <w:r>
              <w:rPr/>
              <w:t>FUTURE EQUITY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issued SAFEs for an aggregate purchase amount of $12,885,001 to investors of Serve (the “2022 SAFEs”). The 2022 agreements, which provide the right of the investors to future equity in the Company, were subject to a valuation cap of $65.0 million with an 80% discount rate for $2,300,000 of the purchase amount with the remaining agreements being uncapped with a 90% discount rate. The agreements had a discount rate of 80%.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entered into SAFEs for aggregate purchase amounts of $2,666,953. The 2023 agreements, which provide the right of the investors to future equity in the Company, were subject to a valuation cap of $65 million. The agreements had a discount rate of 80%.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terms of certain 2022 SAFE agreements were modified where previously uncapped agreements were amended to a valuation cap of $80 million. Furthermore, the discount rates were amended from 90% to 80%. The amendments were accounted for as a modification. The SAFEs were marked-to-market, and the effects of modification was included in the change in fair value of SAFEs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in July 2023, all remaining outstanding SAFEs were converted into 4,372,601 shares of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fair value of SAFEs was $0 and $13,150,745, respectively. See Note 6 for fair value disclosures.</w:t>
      </w:r>
    </w:p>
    <w:p>
      <w:pPr>
        <w:pStyle w:val="TextBody"/>
        <w:bidi w:val="0"/>
        <w:spacing w:before="0" w:after="0"/>
        <w:ind w:left="360" w:right="0" w:hanging="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0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3035" w:type="dxa"/>
            <w:tcBorders/>
            <w:vAlign w:val="center"/>
          </w:tcPr>
          <w:p>
            <w:pPr>
              <w:pStyle w:val="TableContents"/>
              <w:bidi w:val="0"/>
              <w:spacing w:before="0" w:after="283"/>
              <w:jc w:val="both"/>
              <w:rPr/>
            </w:pPr>
            <w:r>
              <w:rPr/>
              <w:t>STOCKHOLDERS’ EQUITY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consummation of the Merger, the Company had issued Series Seed, Series Seed-1, Series Seed-2 and Series Seed-3 convertible preferred stock (collectively referred to as “Pre-Merger Preferred Stock”). The Company’s certificate of incorporation, as amended and restated, had authorized the Company to issue a total of 10,090,150 shares of Pre-Merger Preferred Stock, of which 4,008,079 shares were designated as Series Seed Preferred Stock, 3,037,227 shares were designated as Series Seed-1 Preferred Stock, 2,599,497 shares were designated as Series Seed-2 Preferred Stock and 445,347 shares were designated as Series Seed-3 Preferred Stock. The Preferred Stock have a par value of $0.0001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preferences were as follows:</w:t>
      </w:r>
    </w:p>
    <w:p>
      <w:pPr>
        <w:pStyle w:val="TextBody"/>
        <w:bidi w:val="0"/>
        <w:spacing w:before="0" w:after="0"/>
        <w:ind w:left="36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795"/>
        <w:gridCol w:w="60"/>
        <w:gridCol w:w="140"/>
        <w:gridCol w:w="455"/>
        <w:gridCol w:w="60"/>
        <w:gridCol w:w="60"/>
        <w:gridCol w:w="140"/>
        <w:gridCol w:w="110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11,999,997</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Series Seed-1 preferred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3,699,950</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Series Seed-2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5,674,962</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Series Seed-3 preferred stock</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1,250,000</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22,624,909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there were 10,000,000 shares of preferred stock, par value $0.0001 per share, authorized for issuance.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Company issued 257,639 shares of Series Seed Preferred Stock for gross proceeds of $999,999, or $3.88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in July 2023, all shares of Serve Preferred Stock were converted into 7,978,616 shares of common stock of the newly merged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Merger, the Company has authorized 300,000,000 shares of common stock, par value $0.0001 per share.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Merger, the Company issued 2,782,378 shares of common stock pursuant to a private placement offering for gross proceeds of $11,129,512, or at a purchase price of $4.00 per share. On August 31, 2023, the Company issued an additional 257,762 shares of common stock pursuant to the private placement offering for gross proceeds of $1,031,048, or $4.00 per share. The private placement offerings are referred to herein as the “Private Placement.”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Patricia’s predecessor shares converted into 1,500,000 shares of common stock of the newly merged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all outstanding SAFEs were converted into 4,372,601 shares of common stock (see Notes 5 and 8).</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the outstanding convertible note was converted into 937,961 shares of common stock (see Note 7).</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all shares of Serve Preferred Stock were converted into 7,978,616 shares of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the Company completed a subsequent closing of the Private Placement and issued 143,531 shares of common stock for gross proceeds of $574,124, or $4.00 per share. The Company received $529,127 in net proceeds.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issued 338,121 shares of restricted common stock for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During the years ended December 31, 2023 and 2022, 11,194 and 2,820 shares of restricted common stock vested for a value of $13,735 and $4,250, all respectively. As of December 31, 2023 and 2022, the subscription receivable balance was $169,616 and 165,719 and the corresponding restricted stock award liability were $158,617 and 162,747, all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31, 2023, the Company has issued 6,842,490 shares of common stock subject to vesting requirements, whereby the Company can repurchase unvested shares at its option upon an employees termination. As of December 31, 2023, 2,877,761 shares remained unvested and will vest over approximately 1.6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the Company recorded stock-based compensation pertaining to vesting of restricted common stock of $263,893 and $141,446, respectively. Total unrecognized compensation cost related to non-vested restricted common stock amounted to approximately $638,000 as of December 31, 2023.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the Company repurchased restricted stock awards of 319,118 and 287,591 shares of common stock, respectively, for nominal value.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Merger, (i) warrants to purchase 17,314 shares of Serve’s common stock issued and outstanding immediately prior to the closing of the Merger were assumed and converted into warrants to purchase 13,911 shares of Patricia’s common stock, and (ii) warrants to purchase 160,323 shares of Serve’s Series Seed preferred stock issued and outstanding immediately prior to the closing of the Merger were assumed and converted into warrants to purchase 128,819 shares of Patricia’s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Notes (see Note 7), the Company granted each holder warrants to purchase common stock equal to 50% of the number of shares of common stock into which the loan is convertible at an exercise price of $3.20 per share. Furthermore, the Company granted warrants to the Bridge Brokers equal to 8% of the number of shares of common stock into which April Notes, other than those purchased by insider investors, would convert at the closing of the Merger, with an exercise price of $3.20 per share. As the issuance of the warrants noted above were contingent on the closing of the Merger, they were not considered granted until July 31, 2023. Upon the closing of the Merger, the Company issued 468,971 warrants to the holders of the April Notes and 74,662 warrants to the Bridge Brokers. The Company calculated the fair value of the warrants using a Black-Scholes pricing model. The Company valued the warrants using a common stock fair value of $4.00, exercise price of $3.20 per share, a term of five years, a volatility of 75% and a risk-free interest rate of 4.18%. The Company recognized a note discount for $991,000 in relation to the warrants, which was immediately recognized in interest expense as of the note conversion date on July 31, 2023. As of December 31, 2023, all of the warrants were outstanding and were immediately exercisable.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as of December 31, 2023, the Company granted an additional 403,909 warrants to purchase common stock to the placement agents. Of these, 153,909 warrants had an exercise price of $4.00 per share and 250,000 warrants had an exercise price of $0.001 per share. The warrants are immediately exercisable. The warrants are both an increase to additional paid-in capital and net against the proceeds of the offering for a net zero effect to additional paid-in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there were an aggregate of 1,090,272 warrants to purchase common stock outstanding with a weighted-average exercise price of $2.67 per share and a weighted-average remaining term of 3.2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32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10.</w:t>
            </w:r>
          </w:p>
        </w:tc>
        <w:tc>
          <w:tcPr>
            <w:tcW w:w="3710" w:type="dxa"/>
            <w:tcBorders/>
            <w:vAlign w:val="center"/>
          </w:tcPr>
          <w:p>
            <w:pPr>
              <w:pStyle w:val="TableContents"/>
              <w:bidi w:val="0"/>
              <w:spacing w:before="0" w:after="283"/>
              <w:jc w:val="both"/>
              <w:rPr/>
            </w:pPr>
            <w:r>
              <w:rPr/>
              <w:t>STOCK-BASED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Equity Incentive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stock awards or awards or shares issued under the 2021 Plan that are assumed by the Company pursuant to the Merger Agreement (“Existing Plan Awards”) expire or are forfeited or becomes unexerciseable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 Robotics 2021 Equity Incentive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December 31, 2023. The option exercise price generally may not be less than the underlying stock’s fair market value at the date of the grant and generally have a term of ten years. The amounts granted each calendar year to an employee or non-employee is limited depending on the type of award. As of December 31, 2023, there were 38,582 shares available for grant under the 2021 Plan. Stock options granted under the 2021 Plan typically vest over a four-year period, with a one-year cliff as well as via specified milestones.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information related to stock options for the years ended December 31, 2023 and 2022 is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8"/>
        <w:gridCol w:w="60"/>
        <w:gridCol w:w="60"/>
        <w:gridCol w:w="980"/>
        <w:gridCol w:w="95"/>
        <w:gridCol w:w="60"/>
        <w:gridCol w:w="699"/>
        <w:gridCol w:w="2200"/>
        <w:gridCol w:w="60"/>
        <w:gridCol w:w="60"/>
        <w:gridCol w:w="180"/>
        <w:gridCol w:w="1266"/>
        <w:gridCol w:w="77"/>
      </w:tblGrid>
      <w:tr>
        <w:trPr/>
        <w:tc>
          <w:tcPr>
            <w:tcW w:w="4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Intrinsic Value</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590,073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639,682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22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(368,446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 </w:t>
            </w:r>
          </w:p>
        </w:tc>
        <w:tc>
          <w:tcPr>
            <w:tcW w:w="22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861,309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765,477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22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Forfeited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(111,400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1,515,386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5,111,928</w:t>
            </w:r>
          </w:p>
        </w:tc>
        <w:tc>
          <w:tcPr>
            <w:tcW w:w="77" w:type="dxa"/>
            <w:tcBorders/>
            <w:shd w:fill="CCEEFF" w:val="clear"/>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pPr>
            <w:r>
              <w:rPr/>
              <w:t>Exercisable as of 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722,264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w:t>
            </w:r>
          </w:p>
        </w:tc>
        <w:tc>
          <w:tcPr>
            <w:tcW w:w="2200" w:type="dxa"/>
            <w:tcBorders/>
            <w:vAlign w:val="center"/>
          </w:tcPr>
          <w:p>
            <w:pPr>
              <w:pStyle w:val="TableContents"/>
              <w:bidi w:val="0"/>
              <w:spacing w:before="0" w:after="283"/>
              <w:jc w:val="right"/>
              <w:rPr/>
            </w:pPr>
            <w:r>
              <w:rPr/>
              <w:t>0.66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2,413,853</w:t>
            </w:r>
          </w:p>
        </w:tc>
        <w:tc>
          <w:tcPr>
            <w:tcW w:w="77"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Exercisable and expected to vest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1,515,386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w:t>
            </w:r>
          </w:p>
        </w:tc>
        <w:tc>
          <w:tcPr>
            <w:tcW w:w="2200"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5,111,928</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weighted average duration to expiration of outstanding options was 8.50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of $280,482 and $57,860 was recognized for the years ended December 31, 2023 and 2022, respectively. Total unrecognized compensation cost related to non-vested stock option awards amounted to approximately $356,000 as of December 31, 2023, which will be recognized over a weighted average period of 2.50 years.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were valued using the Black-Scholes pricing model using the range of inputs as indicated below:</w:t>
      </w:r>
    </w:p>
    <w:p>
      <w:pPr>
        <w:pStyle w:val="TextBody"/>
        <w:bidi w:val="0"/>
        <w:spacing w:before="0" w:after="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2345"/>
        <w:gridCol w:w="60"/>
        <w:gridCol w:w="60"/>
        <w:gridCol w:w="1055"/>
        <w:gridCol w:w="215"/>
        <w:gridCol w:w="60"/>
        <w:gridCol w:w="60"/>
        <w:gridCol w:w="590"/>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vAlign w:val="center"/>
          </w:tcPr>
          <w:p>
            <w:pPr>
              <w:pStyle w:val="TableContents"/>
              <w:bidi w:val="0"/>
              <w:spacing w:before="0" w:after="283"/>
              <w:jc w:val="center"/>
              <w:rPr>
                <w:b/>
              </w:rPr>
            </w:pPr>
            <w:r>
              <w:rPr>
                <w:b/>
              </w:rPr>
              <w:t>Years Ended</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 - 3.91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2.98</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vAlign w:val="center"/>
          </w:tcPr>
          <w:p>
            <w:pPr>
              <w:pStyle w:val="TableContents"/>
              <w:bidi w:val="0"/>
              <w:spacing w:before="0" w:after="283"/>
              <w:jc w:val="left"/>
              <w:rPr/>
            </w:pPr>
            <w:r>
              <w:rPr/>
              <w:t>Expected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5.52-6.27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6.0-6.3</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79.1</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vAlign w:val="center"/>
          </w:tcPr>
          <w:p>
            <w:pPr>
              <w:pStyle w:val="TableContents"/>
              <w:bidi w:val="0"/>
              <w:spacing w:before="0" w:after="283"/>
              <w:jc w:val="left"/>
              <w:rPr/>
            </w:pPr>
            <w:r>
              <w:rPr/>
              <w:t>Expected dividend yield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of options granted during 2023 and 2023 were $0.41 and $0.27,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Classification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for stock options and restricted common stock (Note 9) was classified in the statements of operations as follows:</w:t>
      </w:r>
    </w:p>
    <w:p>
      <w:pPr>
        <w:pStyle w:val="TextBody"/>
        <w:bidi w:val="0"/>
        <w:spacing w:before="0" w:after="0"/>
        <w:ind w:left="0" w:right="0" w:firstLine="36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585"/>
        <w:gridCol w:w="60"/>
        <w:gridCol w:w="140"/>
        <w:gridCol w:w="800"/>
        <w:gridCol w:w="60"/>
        <w:gridCol w:w="60"/>
        <w:gridCol w:w="140"/>
        <w:gridCol w:w="800"/>
        <w:gridCol w:w="75"/>
      </w:tblGrid>
      <w:tr>
        <w:trPr/>
        <w:tc>
          <w:tcPr>
            <w:tcW w:w="25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59,002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23,650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49,139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14,625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416,838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152,739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Sales and marketing</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19,396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4,042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544,375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195,056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32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1850" w:type="dxa"/>
            <w:tcBorders/>
            <w:vAlign w:val="center"/>
          </w:tcPr>
          <w:p>
            <w:pPr>
              <w:pStyle w:val="TableContents"/>
              <w:bidi w:val="0"/>
              <w:spacing w:before="0" w:after="283"/>
              <w:jc w:val="both"/>
              <w:rPr/>
            </w:pPr>
            <w:r>
              <w:rPr/>
              <w:t>INCOME TAXES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recognized for temporary differences between the basis of assets and liabilities for financial statement and income tax purposes. The differences relate primarily to net operating loss carryforwards and temporary differences from capitalized research and development costs under tax purposes. As of December 31, 2023 and 2022, the Company had net deferred tax assets before valuation allowance of $14,412,164 and $9,026,439, respectively. The following table presents the deferred tax assets and liabilities by source:</w:t>
      </w:r>
    </w:p>
    <w:p>
      <w:pPr>
        <w:pStyle w:val="TextBody"/>
        <w:bidi w:val="0"/>
        <w:spacing w:before="0" w:after="0"/>
        <w:ind w:left="360" w:right="0" w:hanging="0"/>
        <w:jc w:val="both"/>
        <w:rPr>
          <w:caps w:val="false"/>
          <w:smallCaps w:val="false"/>
        </w:rPr>
      </w:pPr>
      <w:r>
        <w:rPr>
          <w:caps w:val="false"/>
          <w:smallCaps w:val="false"/>
        </w:rPr>
        <w:t> </w:t>
      </w:r>
    </w:p>
    <w:tbl>
      <w:tblPr>
        <w:tblW w:w="6980" w:type="dxa"/>
        <w:jc w:val="left"/>
        <w:tblInd w:w="0" w:type="dxa"/>
        <w:tblLayout w:type="fixed"/>
        <w:tblCellMar>
          <w:top w:w="0" w:type="dxa"/>
          <w:left w:w="0" w:type="dxa"/>
          <w:bottom w:w="0" w:type="dxa"/>
          <w:right w:w="0" w:type="dxa"/>
        </w:tblCellMar>
      </w:tblPr>
      <w:tblGrid>
        <w:gridCol w:w="4145"/>
        <w:gridCol w:w="60"/>
        <w:gridCol w:w="140"/>
        <w:gridCol w:w="1175"/>
        <w:gridCol w:w="95"/>
        <w:gridCol w:w="60"/>
        <w:gridCol w:w="140"/>
        <w:gridCol w:w="1055"/>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11,896,550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8,940,441</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Capitalized research and development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2,516,557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Other temporary differences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85,998</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Valuation allowance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right"/>
              <w:rPr/>
            </w:pPr>
            <w:r>
              <w:rPr/>
              <w:t>(14,412,164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(9,026,439</w:t>
            </w:r>
          </w:p>
        </w:tc>
        <w:tc>
          <w:tcPr>
            <w:tcW w:w="110" w:type="dxa"/>
            <w:tcBorders/>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due to taxable losses for the periods ended 2023 and 2022, cumulative losses through December 31, 2022, and no history of generating taxable income. Therefore, valuation allowances of $14,412,164 and $9,026,439 were recorded as of December 31, 2023 and 2022, respectively. Valuation allowance increased by $5,385,725 and $6,043,682 during the periods ended December 31, 2023 and 2022, respectively. Deferred tax assets were calculated using the Company’s combined effective tax rate, which it estimated to be 28.0%. The effective rate is reduced to 0% due to the full valuation allowance on its net deferred tax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utilize net operating loss carryforwards will depend on its ability to generate adequate future taxable income. At December 31, 2023 and 2022, the Company had net operating loss carryforwards available to offset future taxable income in the amount of $42,321,416 and $31,805,199, respectively, and net operating loss carryforwards do not expire under current tax regulations.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its income tax positions and has determined that it does not have any uncertain tax positions. The Company will recognize interest and penalties related to any uncertain tax positions through its income tax expense.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the future become subject to federal, state and local income taxation though it has not been since its inception, other than minimum state tax. The Company is not presently subject to any income tax audit in any taxing jurisdiction, though its 2021-2023 tax years remain open to examination.</w:t>
      </w:r>
    </w:p>
    <w:p>
      <w:pPr>
        <w:pStyle w:val="TextBody"/>
        <w:bidi w:val="0"/>
        <w:spacing w:before="0" w:after="0"/>
        <w:ind w:left="36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32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4475" w:type="dxa"/>
            <w:tcBorders/>
            <w:vAlign w:val="center"/>
          </w:tcPr>
          <w:p>
            <w:pPr>
              <w:pStyle w:val="TableContents"/>
              <w:bidi w:val="0"/>
              <w:spacing w:before="0" w:after="283"/>
              <w:jc w:val="both"/>
              <w:rPr/>
            </w:pPr>
            <w:r>
              <w:rPr/>
              <w:t>COMMITMENTS AND CONTINGENCIES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 – Right of Use Asset and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leases for office and warehouse space with monthly ranging from $9,862 to $18,358, and terms expiring prior to August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costs are as follows:</w:t>
      </w:r>
    </w:p>
    <w:p>
      <w:pPr>
        <w:pStyle w:val="TextBody"/>
        <w:bidi w:val="0"/>
        <w:spacing w:before="0" w:after="0"/>
        <w:ind w:left="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580"/>
        <w:gridCol w:w="60"/>
        <w:gridCol w:w="2570"/>
        <w:gridCol w:w="60"/>
        <w:gridCol w:w="140"/>
        <w:gridCol w:w="800"/>
        <w:gridCol w:w="60"/>
        <w:gridCol w:w="60"/>
        <w:gridCol w:w="140"/>
        <w:gridCol w:w="800"/>
        <w:gridCol w:w="7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b/>
              </w:rPr>
            </w:pPr>
            <w:r>
              <w:rPr>
                <w:b/>
              </w:rPr>
              <w:t>Financial Statement</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580" w:type="dxa"/>
            <w:tcBorders>
              <w:bottom w:val="single" w:sz="12" w:space="0" w:color="000000"/>
            </w:tcBorders>
            <w:tcMar>
              <w:bottom w:w="28" w:type="dxa"/>
            </w:tcMar>
            <w:vAlign w:val="center"/>
          </w:tcPr>
          <w:p>
            <w:pPr>
              <w:pStyle w:val="TableContents"/>
              <w:bidi w:val="0"/>
              <w:spacing w:before="0" w:after="283"/>
              <w:jc w:val="left"/>
              <w:rPr>
                <w:b/>
              </w:rPr>
            </w:pPr>
            <w:r>
              <w:rPr>
                <w:b/>
              </w:rPr>
              <w:t>Type</w:t>
            </w:r>
          </w:p>
        </w:tc>
        <w:tc>
          <w:tcPr>
            <w:tcW w:w="60" w:type="dxa"/>
            <w:tcBorders/>
            <w:vAlign w:val="center"/>
          </w:tcPr>
          <w:p>
            <w:pPr>
              <w:pStyle w:val="TableContents"/>
              <w:bidi w:val="0"/>
              <w:spacing w:before="0" w:after="283"/>
              <w:jc w:val="left"/>
              <w:rPr/>
            </w:pPr>
            <w:r>
              <w:rPr/>
              <w:t> </w:t>
            </w:r>
          </w:p>
        </w:tc>
        <w:tc>
          <w:tcPr>
            <w:tcW w:w="2570" w:type="dxa"/>
            <w:tcBorders>
              <w:bottom w:val="single" w:sz="12" w:space="0" w:color="000000"/>
            </w:tcBorders>
            <w:tcMar>
              <w:bottom w:w="28" w:type="dxa"/>
            </w:tcMar>
            <w:vAlign w:val="center"/>
          </w:tcPr>
          <w:p>
            <w:pPr>
              <w:pStyle w:val="TableContents"/>
              <w:bidi w:val="0"/>
              <w:spacing w:before="0" w:after="283"/>
              <w:jc w:val="center"/>
              <w:rPr>
                <w:b/>
              </w:rPr>
            </w:pPr>
            <w:r>
              <w:rPr>
                <w:b/>
              </w:rPr>
              <w:t>Line Item</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49,810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621,388</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Operations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665,961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2570" w:type="dxa"/>
            <w:tcBorders/>
            <w:shd w:fill="CCEEFF" w:val="clear"/>
            <w:vAlign w:val="center"/>
          </w:tcPr>
          <w:p>
            <w:pPr>
              <w:pStyle w:val="TableContents"/>
              <w:bidi w:val="0"/>
              <w:spacing w:before="0" w:after="283"/>
              <w:jc w:val="center"/>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217,890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Total lease costs</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933,661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621,388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785"/>
        <w:gridCol w:w="60"/>
        <w:gridCol w:w="140"/>
        <w:gridCol w:w="800"/>
        <w:gridCol w:w="60"/>
        <w:gridCol w:w="60"/>
        <w:gridCol w:w="140"/>
        <w:gridCol w:w="980"/>
        <w:gridCol w:w="75"/>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Years Ended</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283"/>
              <w:jc w:val="left"/>
              <w:rPr/>
            </w:pPr>
            <w:r>
              <w:rPr/>
              <w:t>Operating cash flows paid for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550,470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381,457</w:t>
            </w:r>
          </w:p>
        </w:tc>
        <w:tc>
          <w:tcPr>
            <w:tcW w:w="75" w:type="dxa"/>
            <w:tcBorders/>
            <w:shd w:fill="CCEEFF" w:val="clear"/>
            <w:vAlign w:val="center"/>
          </w:tcPr>
          <w:p>
            <w:pPr>
              <w:pStyle w:val="TableContents"/>
              <w:bidi w:val="0"/>
              <w:spacing w:before="0" w:after="283"/>
              <w:jc w:val="left"/>
              <w:rPr/>
            </w:pPr>
            <w:r>
              <w:rPr/>
              <w:t> </w:t>
            </w:r>
          </w:p>
        </w:tc>
      </w:tr>
      <w:tr>
        <w:trPr/>
        <w:tc>
          <w:tcPr>
            <w:tcW w:w="6785" w:type="dxa"/>
            <w:tcBorders/>
            <w:vAlign w:val="center"/>
          </w:tcPr>
          <w:p>
            <w:pPr>
              <w:pStyle w:val="TableContents"/>
              <w:bidi w:val="0"/>
              <w:spacing w:before="0" w:after="283"/>
              <w:jc w:val="left"/>
              <w:rPr/>
            </w:pPr>
            <w:r>
              <w:rPr/>
              <w:t>Right-of-use assets obtained in exchange for operating lease obligations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1,535,230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information related to leases are as follows:</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4715"/>
        <w:gridCol w:w="60"/>
        <w:gridCol w:w="60"/>
        <w:gridCol w:w="440"/>
        <w:gridCol w:w="215"/>
        <w:gridCol w:w="60"/>
        <w:gridCol w:w="60"/>
        <w:gridCol w:w="440"/>
        <w:gridCol w:w="23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23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2.30</w:t>
            </w:r>
          </w:p>
        </w:tc>
        <w:tc>
          <w:tcPr>
            <w:tcW w:w="23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Weighted-average discount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7.25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7.25</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operating leases as of December 31, 2023, are as follows:</w:t>
      </w:r>
    </w:p>
    <w:p>
      <w:pPr>
        <w:pStyle w:val="TextBody"/>
        <w:bidi w:val="0"/>
        <w:spacing w:before="0" w:after="0"/>
        <w:ind w:left="0" w:right="0" w:firstLine="36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3530"/>
        <w:gridCol w:w="60"/>
        <w:gridCol w:w="140"/>
        <w:gridCol w:w="800"/>
        <w:gridCol w:w="110"/>
      </w:tblGrid>
      <w:tr>
        <w:trPr/>
        <w:tc>
          <w:tcPr>
            <w:tcW w:w="3530"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527,983</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2025</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214,775</w:t>
            </w:r>
          </w:p>
        </w:tc>
        <w:tc>
          <w:tcPr>
            <w:tcW w:w="11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Total undiscounted future cash flows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742,758</w:t>
            </w:r>
          </w:p>
        </w:tc>
        <w:tc>
          <w:tcPr>
            <w:tcW w:w="11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Less: imputed interest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(34,614</w:t>
            </w:r>
          </w:p>
        </w:tc>
        <w:tc>
          <w:tcPr>
            <w:tcW w:w="110" w:type="dxa"/>
            <w:tcBorders/>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708,144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Lease – Failed Sales-Leaseback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the Company entered into a lease agreement with Farnam Capital for its second-generation of robot assets. As per ASC 842-40-25-1, the transaction was considered a failed sales-leaseback and therefore the lease was accounted for as a financing agreement. In total, the Company received proceeds of $4,455,852 related to robot assets constructed with the same value that are held as collateral. The agreement calls for monthly payments through October 31, 2024 of $189,262 and required a security deposit of $378,524. During the years ended December 31, 2023 and 2022, the Company made repayments totaling $1,713,521 and $378,524, respectively. The outstanding liability at December 31, 2023 and 2022 was $2,363,807 and $4,077,328, respectively. The Company has the option to purchase the assets at the end of the lease for 45% of the original equipment cost, and there was a partial purchase of 20%. In December 2023, the Company entered into a modification that would modify and extend the lease payments subject to certain conditions being met; however, based on the terms of the modification as of December 31, 2023, all remaining lease payments were to be in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Minimum Purchase Commitments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the Company entered into a strategic supply agreement with a manufacturer of component parts used for the Company’s robot assets. The agreement calls for a minimum of $2.30 million in purchases over a two-year period ending December 2023. At the end of the two-year period, the vendor may invoice the Company for any shortfall in orders. As of December 31, 2023, the minimum purchase commitment was extended one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subject to pending legal proceedings and regulatory actions in the ordinary course of business. The results of such proceedings cannot be predicted with certainty, but the Company does not anticipate that the final outcome arising out of any such matters will have a material adverse effect on its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32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2645" w:type="dxa"/>
            <w:tcBorders/>
            <w:vAlign w:val="center"/>
          </w:tcPr>
          <w:p>
            <w:pPr>
              <w:pStyle w:val="TableContents"/>
              <w:bidi w:val="0"/>
              <w:spacing w:before="0" w:after="283"/>
              <w:jc w:val="both"/>
              <w:rPr/>
            </w:pPr>
            <w:r>
              <w:rPr/>
              <w:t>SUBSEQUENT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February 29, 2024, the date the condensed financial statements were available to be issued. Based on this evaluation, no material events were identified which require adjustment or disclosure in these condensed financial statements, other than as reported below.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the Company issued to certain accredited investors convertible promissory notes, for which the Company received an aggregate of $5.0 million in proceeds. The convertible promissory notes bear interest at a rate of 6.00% per year, compounded annually, and are due and payable upon request by each investor on or after the 12-month anniversary of the original issuance date of each note. The Company may not prepay or repay the notes in cash without the consent of the investors. The notes convert upon a qualified offering into common stock at the lesser of the price paid per share multiplied by 75% or the quotient resulting from dividing $80,000,000 by the outstanding shares of common stock on a fully diluted basis prior to the financing. If the Company consummates a financing that does not constitute a qualified financing, the holders can elect to treat such as a qualified financing and convert at the same terms as if such was a qualified financing. The holders may also elect to convert, at any time, at a quotient by dividing $80,000,000 by the outstanding shares of common stock on a fully diluted basis.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and Services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Serve entered into a License and Services Agreement (the “LSA”) with Magna New Mobility USA, Inc.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Master Services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strategic partnership with Magna, on February 7, 2024, we issued to Magna a warrant (the “Magna Warrant”) to purchase up to 2,145,000 shares of our common stock (the “Magna Warrant Shares”), subject to adjustments as provided therein, at an exercise price of $0.01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8,888,889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47825" cy="733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4782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2024</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4" w:name="a_026"/>
      <w:bookmarkEnd w:id="34"/>
      <w:r>
        <w:rPr>
          <w:rFonts w:ascii="Times New Roman;Times;Serif" w:hAnsi="Times New Roman;Times;Serif"/>
          <w:b/>
          <w:i w:val="false"/>
          <w:smallCaps/>
          <w:sz w:val="20"/>
        </w:rPr>
        <w:t>PART II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5" w:name="a_027"/>
      <w:bookmarkEnd w:id="35"/>
      <w:r>
        <w:rPr>
          <w:rFonts w:ascii="Times New Roman;Times;Serif" w:hAnsi="Times New Roman;Times;Serif"/>
          <w:b/>
          <w:i w:val="false"/>
          <w:smallCaps/>
          <w:sz w:val="20"/>
        </w:rPr>
        <w:t>INFORMATION NOT REQUIRED IN THE PROSPECTUS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fees and expenses payable by us in connection with the offering of the securities being registered. All amounts shown are estimates except for the SEC registration fee, the FINRA filing fee and the Nasdaq listing fee.</w:t>
      </w:r>
    </w:p>
    <w:p>
      <w:pPr>
        <w:pStyle w:val="TextBody"/>
        <w:bidi w:val="0"/>
        <w:spacing w:before="0" w:after="0"/>
        <w:ind w:left="0" w:right="0" w:hanging="0"/>
        <w:jc w:val="both"/>
        <w:rPr>
          <w:caps w:val="false"/>
          <w:smallCaps w:val="false"/>
        </w:rPr>
      </w:pPr>
      <w:r>
        <w:rPr>
          <w:caps w:val="false"/>
          <w:smallCaps w:val="false"/>
        </w:rPr>
        <w:t> </w:t>
      </w:r>
    </w:p>
    <w:tbl>
      <w:tblPr>
        <w:tblW w:w="4395" w:type="dxa"/>
        <w:jc w:val="left"/>
        <w:tblInd w:w="0" w:type="dxa"/>
        <w:tblLayout w:type="fixed"/>
        <w:tblCellMar>
          <w:top w:w="0" w:type="dxa"/>
          <w:left w:w="0" w:type="dxa"/>
          <w:bottom w:w="0" w:type="dxa"/>
          <w:right w:w="0" w:type="dxa"/>
        </w:tblCellMar>
      </w:tblPr>
      <w:tblGrid>
        <w:gridCol w:w="3140"/>
        <w:gridCol w:w="60"/>
        <w:gridCol w:w="140"/>
        <w:gridCol w:w="980"/>
        <w:gridCol w:w="75"/>
      </w:tblGrid>
      <w:tr>
        <w:trPr/>
        <w:tc>
          <w:tcPr>
            <w:tcW w:w="314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6,790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Nasdaq listing fee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75,000</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FINRA filing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6,590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Accounting fees and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1,150,000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Transfer agent and registrar fees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2,500</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Miscellaneous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Printing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9,000</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1,279,880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amended and amended and restated certificate of incorporation contains provisions that eliminate the personal liability of its directors for monetary damages for any breach of fiduciary duties as a director, except liability for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t>any breach of the director’s duty of loyalty to the Registrant or its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acts or omissions not in good faith or that involve intentional misconduct or a knowing violation of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under Section 174 of the DGCL (regarding unlawful dividends and stock purchases);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executive officers to provide these directors and executive officers additional contractual assurances regarding the scope of the indemnification set forth in our amended and amended and restated certificate of incorporation and amended and restated bylaws, and to provide additional procedural protections. There is no pending litigation or proceeding involving any of our directors or executive officers for which indemnification is sought. The indemnification provisions in our amended and restated certificate of incorporation, amended and restated bylaws, and the indemnification agreements entered into between us and each of our directors and executive officers may be sufficiently broad to permit indemnification of our directors and executive officers for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currently carry liability insurance for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are also indemnified by their employers with regard to service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2021, we and Serve have issued the following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strategic partnership with Magna, on February 7, 2024, the Company issued the Magna Warrant to purchase up to 2,145,000 shares of our common stock, subject to adjustments as provided therein, at an exercise price per share of $0.01.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Magna Warrant will be exercisable in two equal tranches: (i) the first tranche will become exercisable no later than May 15, 2024, subject to certain conditions; and (ii) the second tranche will become exercisable upon the achievement by Magna of a certain manufacturing milestone as set forth in a production and purchase agreement to be entered into with respect to the contract manufacturing of the Company’s autonomous delivery robots by Magna or one of its affiliates. Notwithstanding the foregoing, the Magna Warrant will become exercisable upon any Change of Control (as defined in the Magna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the Magna Warrant was exempt from registration under Section 4(a)(2) of the Securities Act and Rule 506(b)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Promissory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initial closing on January 2, 2024 and subsequent closings on January 12, 2024, January 22, 2024 and January 26, 2024, we issued an aggregate of $5.0 million in convertible promissory notes to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Secured Subordinated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Serve issued the December 2023 Kashani Note to Ali Kashani, a holder of greater than 5% of the Company’s capital stock who serves as Chief Executive Officer and is a member of our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December 2023 Kashani Note was exempt from registration under Section 4(a)(2) of the Securities Act and Rule 506(b)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Bridge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in connection with the Bridge Financing, Serve offered and sold to accredited investors $3,001,500 principal amount of the Bridge Notes in a private placement. The Bridge Notes bore interest at 10% per annum and were payable on October 21, 2023, subject to earlier conversion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upon the closing of the Merger and the initial closing of the Private Placement, the outstanding principal amount of the Bridge Notes was automatically converted into 937,961 shares of our common stock at a conversion price of $3.20 per share, and investors in the Bridge Notes received Bridge Warrants to purchase a number of shares of common stock equal to 50% of the number of shares of common stock into which the Bridge Notes were converted, at an exercise price of $3.20 per share for a term of three years. If at any time after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Bridge Notes, Serve agreed to cause the Company to issue to the Bridge Brokers, upon closing of the Merger and the Private Placement, Bridge Broker Warrants to purchase a number of shares of Serve’s common stock equal to 8% of the number of shares of common stock into which the Bridge Notes, other than those purchased by Insider Investors, would convert at the closing of the Merger and Private Placement, with an exercise price per share of $3.20 and a term of three years. The Bridge Brokers were entitled to be issued Bridge Broker Warrants to purchase an aggregate of 74,662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of the Bridge Notes, and the grant of the Bridge Warrants and Bridge Broker Warrants were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in connection with the Private Placement, we issued an aggregate of 2,782,378 shares of common stock at a price of $4.00 per share for aggregate gross consideration of approximately $11.13 million to 71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in connection with the Private Placement, we issued an aggregate of 257,762 shares of common stock at a price of $4.00 per share for aggregate gross consideration of approximately $1.03 million to 5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in connection with the Private Placement, we issued an aggregate of 143,531 shares of common stock at a price of $4.00 per share for aggregate gross consideration of approximately $0.57 million to 8 accredited investors. These transactions were exempt from registration under Section 4(a)(2) of the Securities Act as not involving any public offering or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subject to the closing of the Private Placement, we agreed to pay each of the Placement Agents, Aegis Capital Corp. and Network 1 Financial Services, Inc., each a U.S. registered broker-dealer, a cash placement fee of 8% of the gross proceeds raised from investors in the Private Placement (or 4% of gross proceeds raised from Insider Investors) and to issue to them Placement Agent Warrants consisting of (a) Placement Agent A Warrants to purchase a number of shares of our common stock equal to 8% of the number of shares of common stock sold in the Private Placement (other than to Insider Investors), with a term expiring three years after the common stock begins to trade on Nasdaq or NYSE and an exercise price of $4.00 per share and (b) Placement Agent B Warrants to purchase 125,000 shares of common stock with the same term as the Placement Agent A Warrants and an exercise price of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the Placement Agent Warrants was exempt from registration under Section 4(a)(2) of the Securities Act and Rule 506(b) of Regulation D promulgated by the SEC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Securities Issued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pursuant to the terms of the Merger Agreement, 3,091,672 shares of Serve’s Series Seed preferred stock, 2,440,411 shares of Serve’s Series Seed-1 preferred stock, 2,088,696 shares of Serve’s Series Seed-2 preferred stock, and 357,836 shares of Serve’s Series Seed-3 stock were converted into an aggregate of 7,978,616 shares of our common stock. These transactions were exempt from registration under Section 4(a)(2) of the Securities Act as not involving any public offering or Regulation D promulgated thereunder. None of the securities were sold through an underwriter and, accordingly, there were no underwriting discounts or commissions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of Unregistered Securities of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 sets forth information as to all securities Serve sold from January 1, 2021, through immediately prior to the consummation of the Merger, which were not registered under the Securities Act. The following description is historical and has not been adjusted to give effect to the Merger. The proceeds from these sales were used by the Company for working capital.</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Between April 27, 2021 and June 25, 2021, Serve issued a total of 3,535,400 shares of Serve’s common stock at a price per share of $0.0012 to stockholders of Serve for gross proceeds of $4,400.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Between April 12, 2021 and September 19, 2021, Serve issued a total of 3,660,605 shares of common stock at a price per share of $0.0013 to service providers of Serve pursuant to the 2021 Plan, of which 2,800,448 are outstanding for gross proceeds of $4,758.79. Serve relied upon the exemption from registration provided by Rule 701 of the Securities Act.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Between August 23, 2022 and September 7, 2022, Serve issued a total of 338,122 shares of common stock at a price per share of $0.49 to service providers of Serve pursuant to the 2021 Plan. Serve relied upon the exemption from registration provided by Rule 701 of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Between December 23, 2021 and October 8, 2022, Serve issued options to purchase a total of 1,229,755 shares of common stock at an exercise price of $0.49 per share to service providers of Serve pursuant to the 2021 Plan, of which 829,749 are outstanding. Serve relied upon the exemption from registration provided by Rule 701 of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24, 2021, Serve issued a SAFEs for an aggregate purchase amount of $1.00 million (the “February 2021 Safe”) to an investor of Serve. The February 2021 Safe converted into 2,440,411 shares of Serve’s Series Seed-1 Preferred Stock at a price per share of $1.5161 on October 4, 2021.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5" w:type="dxa"/>
            <w:tcBorders/>
            <w:vAlign w:val="center"/>
          </w:tcPr>
          <w:p>
            <w:pPr>
              <w:pStyle w:val="TableContents"/>
              <w:bidi w:val="0"/>
              <w:spacing w:before="0" w:after="283"/>
              <w:jc w:val="both"/>
              <w:rPr/>
            </w:pPr>
            <w:r>
              <w:rPr/>
              <w:t>Between January 29, 2021 and March 16, 2021, Serve issued SAFEs for an aggregate purchase amount of $5.68 million (the “2021 Safes”) to investors of Serve. The 2021 Safes converted into 2,088,696 shares of Serve’s Series Seed-2 Preferred Stock at a price per share of $2.7170 on October 4, 2021.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13, 2021, Serve issued a SAFEs for an aggregate purchase amount of $1.25 million (the “Bridge Safe”) to investors of Serve. The Bridge Safe converted into 357,836 shares of Serve’s Series Seed-3 Preferred Stock at a price per share of $3.4932 on October 4, 2021.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8.</w:t>
            </w:r>
          </w:p>
        </w:tc>
        <w:tc>
          <w:tcPr>
            <w:tcW w:w="10020" w:type="dxa"/>
            <w:tcBorders/>
            <w:vAlign w:val="center"/>
          </w:tcPr>
          <w:p>
            <w:pPr>
              <w:pStyle w:val="TableContents"/>
              <w:bidi w:val="0"/>
              <w:spacing w:before="0" w:after="283"/>
              <w:jc w:val="both"/>
              <w:rPr/>
            </w:pPr>
            <w:r>
              <w:rPr/>
              <w:t>On October 4, 2021, Serve entered into a Series Seed Preferred Stock Purchase Agreement, pursuant to which the Company issued 3,091,672 shares of Serve’s Series Seed Preferred Stock at a price per share of $3.8814, 2,440,411 shares of Serve’s Series Seed-1 Preferred Stock, 2,088,696 shares of Serve’s Series Seed-2 Preferred Stock, and 357,836 shares of Serve’s Series Seed-3 Preferred Stock to stockholders of Serve. Serve raised a total of $12.00 million from the sale of Serve’s Series Seed Preferred Stock.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9.</w:t>
            </w:r>
          </w:p>
        </w:tc>
        <w:tc>
          <w:tcPr>
            <w:tcW w:w="10006" w:type="dxa"/>
            <w:tcBorders/>
            <w:vAlign w:val="center"/>
          </w:tcPr>
          <w:p>
            <w:pPr>
              <w:pStyle w:val="TableContents"/>
              <w:bidi w:val="0"/>
              <w:spacing w:before="0" w:after="283"/>
              <w:jc w:val="both"/>
              <w:rPr/>
            </w:pPr>
            <w:r>
              <w:rPr/>
              <w:t>On October 4, 2021, Serve issued a warrant to purchase 128,819 shares of Serve’s Series Seed Preferred Stock at an exercise price of $3.89 per share.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10.</w:t>
            </w:r>
          </w:p>
        </w:tc>
        <w:tc>
          <w:tcPr>
            <w:tcW w:w="9885" w:type="dxa"/>
            <w:tcBorders/>
            <w:vAlign w:val="center"/>
          </w:tcPr>
          <w:p>
            <w:pPr>
              <w:pStyle w:val="TableContents"/>
              <w:bidi w:val="0"/>
              <w:spacing w:before="0" w:after="283"/>
              <w:jc w:val="both"/>
              <w:rPr/>
            </w:pPr>
            <w:r>
              <w:rPr/>
              <w:t>On November 11, 2021, Serve issued a warrant to purchase 13,911 shares of Serve’s common stock at an exercise price of $3.89 per share.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11.</w:t>
            </w:r>
          </w:p>
        </w:tc>
        <w:tc>
          <w:tcPr>
            <w:tcW w:w="9885" w:type="dxa"/>
            <w:tcBorders/>
            <w:vAlign w:val="center"/>
          </w:tcPr>
          <w:p>
            <w:pPr>
              <w:pStyle w:val="TableContents"/>
              <w:bidi w:val="0"/>
              <w:spacing w:before="0" w:after="283"/>
              <w:jc w:val="both"/>
              <w:rPr/>
            </w:pPr>
            <w:r>
              <w:rPr/>
              <w:t>Between February 4, 2022 and March 9, 2022, Serve issued SAFEs for an aggregate purchase amount of $10.59 million to investors of Serve.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12.</w:t>
            </w:r>
          </w:p>
        </w:tc>
        <w:tc>
          <w:tcPr>
            <w:tcW w:w="9884" w:type="dxa"/>
            <w:tcBorders/>
            <w:vAlign w:val="center"/>
          </w:tcPr>
          <w:p>
            <w:pPr>
              <w:pStyle w:val="TableContents"/>
              <w:bidi w:val="0"/>
              <w:spacing w:before="0" w:after="283"/>
              <w:jc w:val="both"/>
              <w:rPr/>
            </w:pPr>
            <w:r>
              <w:rPr/>
              <w:t>On March 1, 2022, Serve issued a warrant to purchase 40,292 shares of Serve’s common stock at an exercise price of $0.49 per share.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Between December 1, 2022 and January 18, 2023, Serve issued SAFEs for an aggregate purchase amount of $4.97 million to investors of Serve. Serve relied upon the exemption from registration provided by Regulation 4(2) under the Securities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15, 2023, Serve issued options to purchase a total of 255,240 shares of common stock at an exercise price of $0.50 per share to service providers of Serve pursuant to the 2021 Plan. Serve relied upon the exemption from registration provided by Rule 701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7, 2023, Serve issued options to purchase a total of 510,237 shares of common stock at an exercise price of $0.86 per share to service providers of Serve pursuant to the 2021 Plan. Serve relied upon the exemption from registration provided by Rule 701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28, 2023, Serve issued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 The issuance of the June 2023 Kashani Note was exempt from registration under Section 4(a)(2) of the Securities Act and Rule 506(b) of Regulation D promulgated by the SEC thereunder.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 index attached hereto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 information required to be set forth in the schedules is either not applicable or is included in our financial statements or notes to those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both"/>
              <w:rPr/>
            </w:pPr>
            <w:r>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283"/>
              <w:jc w:val="both"/>
              <w:rPr/>
            </w:pPr>
            <w:r>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6" w:name="a_028"/>
      <w:bookmarkEnd w:id="36"/>
      <w:r>
        <w:rPr>
          <w:rFonts w:ascii="Times New Roman;Times;Serif" w:hAnsi="Times New Roman;Times;Serif"/>
          <w:b/>
          <w:i w:val="false"/>
          <w:smallCaps/>
          <w:sz w:val="20"/>
        </w:rPr>
        <w:t>EXHIBIT INDEX</w:t>
      </w:r>
    </w:p>
    <w:p>
      <w:pPr>
        <w:pStyle w:val="TextBody"/>
        <w:bidi w:val="0"/>
        <w:spacing w:before="0" w:after="0"/>
        <w:ind w:left="0" w:right="0" w:hanging="0"/>
        <w:jc w:val="center"/>
        <w:rPr>
          <w:smallCaps/>
        </w:rPr>
      </w:pPr>
      <w:r>
        <w:rPr>
          <w:smallCaps/>
        </w:rPr>
        <w:t> </w:t>
      </w:r>
    </w:p>
    <w:tbl>
      <w:tblPr>
        <w:tblW w:w="10205" w:type="dxa"/>
        <w:jc w:val="left"/>
        <w:tblInd w:w="0" w:type="dxa"/>
        <w:tblLayout w:type="fixed"/>
        <w:tblCellMar>
          <w:top w:w="0" w:type="dxa"/>
          <w:left w:w="0" w:type="dxa"/>
          <w:bottom w:w="28" w:type="dxa"/>
          <w:right w:w="0" w:type="dxa"/>
        </w:tblCellMar>
      </w:tblPr>
      <w:tblGrid>
        <w:gridCol w:w="759"/>
        <w:gridCol w:w="60"/>
        <w:gridCol w:w="9386"/>
      </w:tblGrid>
      <w:tr>
        <w:trPr/>
        <w:tc>
          <w:tcPr>
            <w:tcW w:w="759"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6"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759"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w:anchor="ea020358801ex1-1_serverob.htm">
              <w:r>
                <w:rPr>
                  <w:rStyle w:val="InternetLink"/>
                </w:rPr>
                <w:t>Form of Underwriting Agreement.</w:t>
              </w:r>
            </w:hyperlink>
          </w:p>
        </w:tc>
      </w:tr>
      <w:tr>
        <w:trPr/>
        <w:tc>
          <w:tcPr>
            <w:tcW w:w="759" w:type="dxa"/>
            <w:tcBorders/>
            <w:tcMar>
              <w:bottom w:w="0" w:type="dxa"/>
            </w:tcMar>
            <w:vAlign w:val="center"/>
          </w:tcPr>
          <w:p>
            <w:pPr>
              <w:pStyle w:val="TableContents"/>
              <w:bidi w:val="0"/>
              <w:spacing w:before="0" w:after="283"/>
              <w:jc w:val="left"/>
              <w:rPr/>
            </w:pPr>
            <w:r>
              <w:rPr/>
              <w:t>2.1§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7">
              <w:r>
                <w:rPr>
                  <w:rStyle w:val="InternetLink"/>
                </w:rPr>
                <w:t>Agreement and Plan of Merger and Reorganization among the Company, Serve Acquisition Corp. and Serve Robotics Inc. (incorporated by reference to Exhibit 2.1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8">
              <w:r>
                <w:rPr>
                  <w:rStyle w:val="InternetLink"/>
                </w:rPr>
                <w:t>Certificate of Merger relating to the merger of Serve Acquisition Corp. with and into Serve Robotics Inc., filed with the Secretary of State of the State of Delaware on July 31, 2023 (incorporated by reference to Exhibit 3.1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3.2</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9">
              <w:r>
                <w:rPr>
                  <w:rStyle w:val="InternetLink"/>
                </w:rPr>
                <w:t>Amended and Restated Certificate of Incorporation, filed with the Secretary of State of the State of Delaware on July 31, 2023 (incorporated by reference to Exhibit 3.2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0">
              <w:r>
                <w:rPr>
                  <w:rStyle w:val="InternetLink"/>
                </w:rPr>
                <w:t>Amended and Restated Bylaws (incorporated by reference to Exhibit 3.3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4.1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1">
              <w:r>
                <w:rPr>
                  <w:rStyle w:val="InternetLink"/>
                </w:rPr>
                <w:t>Form of Bridge Warrant (incorporated by reference to Exhibit 4.1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2">
              <w:r>
                <w:rPr>
                  <w:rStyle w:val="InternetLink"/>
                </w:rPr>
                <w:t>Form of Bridge Broker Warrant (incorporated by reference to Exhibit 4.2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4.3</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3">
              <w:r>
                <w:rPr>
                  <w:rStyle w:val="InternetLink"/>
                </w:rPr>
                <w:t>Form of Placement Agent A Warrant (incorporated by reference to Exhibit 4.3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4">
              <w:r>
                <w:rPr>
                  <w:rStyle w:val="InternetLink"/>
                </w:rPr>
                <w:t>Form of Placement Agent B Warrant (incorporated by reference to Exhibit 4.4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4.5</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5">
              <w:r>
                <w:rPr>
                  <w:rStyle w:val="InternetLink"/>
                </w:rPr>
                <w:t>Form of Secured Subordinated Promissory Note (incorporated by reference to Exhibit 4.1 to the Company’s Current Report on Form 8-K filed with the SEC on January 3, 2024).</w:t>
              </w:r>
            </w:hyperlink>
          </w:p>
        </w:tc>
      </w:tr>
      <w:tr>
        <w:trPr/>
        <w:tc>
          <w:tcPr>
            <w:tcW w:w="759" w:type="dxa"/>
            <w:tcBorders/>
            <w:shd w:fill="CCEEFF" w:val="clear"/>
            <w:tcMar>
              <w:bottom w:w="0" w:type="dxa"/>
            </w:tcMar>
            <w:vAlign w:val="center"/>
          </w:tcPr>
          <w:p>
            <w:pPr>
              <w:pStyle w:val="TableContents"/>
              <w:bidi w:val="0"/>
              <w:spacing w:before="0" w:after="283"/>
              <w:jc w:val="left"/>
              <w:rPr/>
            </w:pPr>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6">
              <w:r>
                <w:rPr>
                  <w:rStyle w:val="InternetLink"/>
                </w:rPr>
                <w:t>Form of Convertible Promissory Note (incorporated by reference to Exhibit 4.2 to the Company’s Current Report on Form 8-K filed with the SEC on January 3, 2024).</w:t>
              </w:r>
            </w:hyperlink>
          </w:p>
        </w:tc>
      </w:tr>
      <w:tr>
        <w:trPr/>
        <w:tc>
          <w:tcPr>
            <w:tcW w:w="759" w:type="dxa"/>
            <w:tcBorders/>
            <w:tcMar>
              <w:bottom w:w="0" w:type="dxa"/>
            </w:tcMar>
            <w:vAlign w:val="center"/>
          </w:tcPr>
          <w:p>
            <w:pPr>
              <w:pStyle w:val="TableContents"/>
              <w:bidi w:val="0"/>
              <w:spacing w:before="0" w:after="283"/>
              <w:jc w:val="left"/>
              <w:rPr/>
            </w:pPr>
            <w:r>
              <w:rPr/>
              <w:t>4.7#</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17">
              <w:r>
                <w:rPr>
                  <w:rStyle w:val="InternetLink"/>
                </w:rPr>
                <w:t>Common Stock Warrant, dated February 7, 2024, issued by Serve Robotics Inc. to Magna New Mobility USA, Inc. (incorporated by reference to Exhibit 10.3 to the Company’s Current Report on Form 8-K filed with the SEC on February 7, 2024).</w:t>
              </w:r>
            </w:hyperlink>
          </w:p>
        </w:tc>
      </w:tr>
      <w:tr>
        <w:trPr/>
        <w:tc>
          <w:tcPr>
            <w:tcW w:w="759" w:type="dxa"/>
            <w:tcBorders/>
            <w:shd w:fill="CCEEFF" w:val="clear"/>
            <w:tcMar>
              <w:bottom w:w="0" w:type="dxa"/>
            </w:tcMar>
            <w:vAlign w:val="center"/>
          </w:tcPr>
          <w:p>
            <w:pPr>
              <w:pStyle w:val="TableContents"/>
              <w:bidi w:val="0"/>
              <w:spacing w:before="0" w:after="283"/>
              <w:jc w:val="left"/>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8">
              <w:r>
                <w:rPr>
                  <w:rStyle w:val="InternetLink"/>
                </w:rPr>
                <w:t>Specimen Stock Certificate evidencing the shares of common stock.</w:t>
              </w:r>
            </w:hyperlink>
          </w:p>
        </w:tc>
      </w:tr>
      <w:tr>
        <w:trPr/>
        <w:tc>
          <w:tcPr>
            <w:tcW w:w="759" w:type="dxa"/>
            <w:tcBorders/>
            <w:tcMar>
              <w:bottom w:w="0" w:type="dxa"/>
            </w:tcMar>
            <w:vAlign w:val="center"/>
          </w:tcPr>
          <w:p>
            <w:pPr>
              <w:pStyle w:val="TableContents"/>
              <w:bidi w:val="0"/>
              <w:spacing w:before="0" w:after="283"/>
              <w:jc w:val="left"/>
              <w:rPr/>
            </w:pPr>
            <w:r>
              <w:rPr/>
              <w:t>4.9*</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w:anchor="ea020358801ex1-1_serverob.htm">
              <w:r>
                <w:rPr>
                  <w:rStyle w:val="InternetLink"/>
                </w:rPr>
                <w:t>Form of Underwriter’s Warrant (included in Exhibit 1.1 hereto).</w:t>
              </w:r>
            </w:hyperlink>
          </w:p>
        </w:tc>
      </w:tr>
      <w:tr>
        <w:trPr/>
        <w:tc>
          <w:tcPr>
            <w:tcW w:w="759"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19">
              <w:r>
                <w:rPr>
                  <w:rStyle w:val="InternetLink"/>
                </w:rPr>
                <w:t>Opinion of Orrick, Herrington &amp; Sutcliffe LLP.</w:t>
              </w:r>
            </w:hyperlink>
          </w:p>
        </w:tc>
      </w:tr>
      <w:tr>
        <w:trPr/>
        <w:tc>
          <w:tcPr>
            <w:tcW w:w="759"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20">
              <w:r>
                <w:rPr>
                  <w:rStyle w:val="InternetLink"/>
                </w:rPr>
                <w:t>Offer Letter, dated as of March 1, 2021, by and between Touraj Parang and the Company (incorporated by reference to Exhibit 10.1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21">
              <w:r>
                <w:rPr>
                  <w:rStyle w:val="InternetLink"/>
                </w:rPr>
                <w:t>Offer Letter, dated as of October 7, 2021, by and between Euan Abraham and the Company (incorporated by reference to Exhibit 10.2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22">
              <w:r>
                <w:rPr>
                  <w:rStyle w:val="InternetLink"/>
                </w:rPr>
                <w:t>Engagement Letter, dated as of May 18, 2023, by and between AKW Financial, LLC dba Vision Accounting &amp; Tax (VAT) and the Company (incorporated by reference to Exhibit 10.3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23">
              <w:r>
                <w:rPr>
                  <w:rStyle w:val="InternetLink"/>
                </w:rPr>
                <w:t>Parang Termination Payment Letter, dated as of June 23, 2021, by and between Touraj Parang and the Company (incorporated by reference to Exhibit 10.4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10.5+</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24">
              <w:r>
                <w:rPr>
                  <w:rStyle w:val="InternetLink"/>
                </w:rPr>
                <w:t>Kashani Termination Payment Letter, dated as of September 27, 2021, by and between Ali Kashani and the Company (incorporated by reference to Exhibit 10.5 to the Company’s Current Report on Form 8-K filed with the SEC on August 4, 2023).</w:t>
              </w:r>
            </w:hyperlink>
          </w:p>
        </w:tc>
      </w:tr>
      <w:tr>
        <w:trPr/>
        <w:tc>
          <w:tcPr>
            <w:tcW w:w="759" w:type="dxa"/>
            <w:tcBorders/>
            <w:shd w:fill="CCEEFF" w:val="clear"/>
            <w:tcMar>
              <w:bottom w:w="0" w:type="dxa"/>
            </w:tcMar>
            <w:vAlign w:val="center"/>
          </w:tcPr>
          <w:p>
            <w:pPr>
              <w:pStyle w:val="TableContents"/>
              <w:bidi w:val="0"/>
              <w:spacing w:before="0" w:after="283"/>
              <w:jc w:val="left"/>
              <w:rPr/>
            </w:pPr>
            <w:r>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6" w:type="dxa"/>
            <w:tcBorders/>
            <w:shd w:fill="CCEEFF" w:val="clear"/>
            <w:tcMar>
              <w:bottom w:w="0" w:type="dxa"/>
            </w:tcMar>
            <w:vAlign w:val="center"/>
          </w:tcPr>
          <w:p>
            <w:pPr>
              <w:pStyle w:val="TableContents"/>
              <w:bidi w:val="0"/>
              <w:spacing w:before="0" w:after="283"/>
              <w:jc w:val="both"/>
              <w:rPr/>
            </w:pPr>
            <w:hyperlink r:id="rId25">
              <w:r>
                <w:rPr>
                  <w:rStyle w:val="InternetLink"/>
                </w:rPr>
                <w:t>Lease Agreement, dated as of February 25, 2021, by and between Bauen Fund 2018-730, LLC and the Company (incorporated by reference to Exhibit 10.6 to the Company’s Current Report on Form 8-K filed with the SEC on August 4, 2023).</w:t>
              </w:r>
            </w:hyperlink>
          </w:p>
        </w:tc>
      </w:tr>
      <w:tr>
        <w:trPr/>
        <w:tc>
          <w:tcPr>
            <w:tcW w:w="759" w:type="dxa"/>
            <w:tcBorders/>
            <w:tcMar>
              <w:bottom w:w="0" w:type="dxa"/>
            </w:tcMar>
            <w:vAlign w:val="center"/>
          </w:tcPr>
          <w:p>
            <w:pPr>
              <w:pStyle w:val="TableContents"/>
              <w:bidi w:val="0"/>
              <w:spacing w:before="0" w:after="283"/>
              <w:jc w:val="left"/>
              <w:rPr/>
            </w:pPr>
            <w:r>
              <w:rPr/>
              <w:t>10.7§</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283"/>
              <w:jc w:val="both"/>
              <w:rPr/>
            </w:pPr>
            <w:hyperlink r:id="rId26">
              <w:r>
                <w:rPr>
                  <w:rStyle w:val="InternetLink"/>
                </w:rPr>
                <w:t>Contribution Agreement, dated as of February 24, 2021, by and between Postmates, LLC and the Company (incorporated by reference to Exhibit 10.7 to the Company’s Current Report on Form 8-K filed with the SEC on August 4, 2023).</w:t>
              </w:r>
            </w:hyperlink>
          </w:p>
        </w:tc>
      </w:tr>
    </w:tbl>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
        <w:gridCol w:w="60"/>
        <w:gridCol w:w="9509"/>
      </w:tblGrid>
      <w:tr>
        <w:trPr/>
        <w:tc>
          <w:tcPr>
            <w:tcW w:w="636" w:type="dxa"/>
            <w:tcBorders/>
            <w:shd w:fill="CCEEFF" w:val="clear"/>
            <w:vAlign w:val="center"/>
          </w:tcPr>
          <w:p>
            <w:pPr>
              <w:pStyle w:val="TableContents"/>
              <w:bidi w:val="0"/>
              <w:spacing w:before="0" w:after="283"/>
              <w:jc w:val="both"/>
              <w:rPr/>
            </w:pPr>
            <w:r>
              <w:rPr/>
              <w:t>10.8#</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27">
              <w:r>
                <w:rPr>
                  <w:rStyle w:val="InternetLink"/>
                </w:rPr>
                <w:t>Amended and Restated Side Letter to the Contribution Agreement, dated as of January 12, 2023, by and between Postmates, LLC and the Company (incorporated by reference to Exhibit 10.8 to Amendment No. 2 to the Company’s Registration Statement on Form S-1 filed with the SEC on November 28, 2023).</w:t>
              </w:r>
            </w:hyperlink>
          </w:p>
        </w:tc>
      </w:tr>
      <w:tr>
        <w:trPr/>
        <w:tc>
          <w:tcPr>
            <w:tcW w:w="636" w:type="dxa"/>
            <w:tcBorders/>
            <w:vAlign w:val="center"/>
          </w:tcPr>
          <w:p>
            <w:pPr>
              <w:pStyle w:val="TableContents"/>
              <w:bidi w:val="0"/>
              <w:spacing w:before="0" w:after="283"/>
              <w:jc w:val="both"/>
              <w:rPr/>
            </w:pPr>
            <w:r>
              <w:rPr/>
              <w:t>10.9#</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28">
              <w:r>
                <w:rPr>
                  <w:rStyle w:val="InternetLink"/>
                </w:rPr>
                <w:t>Master Framework Agreement, dated as of September 3, 2021 by and between Uber Technologies, Inc. and the Company (incorporated by reference to Exhibit 10.9 to Amendment No. 2 to the Company’s Registration Statement on Form S-1 filed with the SEC on November 28, 2023).</w:t>
              </w:r>
            </w:hyperlink>
          </w:p>
        </w:tc>
      </w:tr>
      <w:tr>
        <w:trPr/>
        <w:tc>
          <w:tcPr>
            <w:tcW w:w="636" w:type="dxa"/>
            <w:tcBorders/>
            <w:shd w:fill="CCEEFF" w:val="clear"/>
            <w:vAlign w:val="center"/>
          </w:tcPr>
          <w:p>
            <w:pPr>
              <w:pStyle w:val="TableContents"/>
              <w:bidi w:val="0"/>
              <w:spacing w:before="0" w:after="283"/>
              <w:jc w:val="both"/>
              <w:rPr/>
            </w:pPr>
            <w:r>
              <w:rPr/>
              <w:t>10.10#</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29">
              <w:r>
                <w:rPr>
                  <w:rStyle w:val="InternetLink"/>
                </w:rPr>
                <w:t>Amendment No. 1 to the Master Framework Agreement, dated as of May 26, 2022 by and between Uber Technologies, Inc. and the Company (incorporated by reference to Exhibit 10.10 to Amendment No. 2 to the Company’s Registration Statement on Form S-1 filed with the SEC on November 28, 2023).</w:t>
              </w:r>
            </w:hyperlink>
          </w:p>
        </w:tc>
      </w:tr>
      <w:tr>
        <w:trPr/>
        <w:tc>
          <w:tcPr>
            <w:tcW w:w="636" w:type="dxa"/>
            <w:tcBorders/>
            <w:vAlign w:val="center"/>
          </w:tcPr>
          <w:p>
            <w:pPr>
              <w:pStyle w:val="TableContents"/>
              <w:bidi w:val="0"/>
              <w:spacing w:before="0" w:after="283"/>
              <w:jc w:val="both"/>
              <w:rPr/>
            </w:pPr>
            <w:r>
              <w:rPr/>
              <w:t>10.11#</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0">
              <w:r>
                <w:rPr>
                  <w:rStyle w:val="InternetLink"/>
                </w:rPr>
                <w:t>Amendment No. 2 to the Master Framework Agreement, dated as of January 12, 2023 by and between Uber Technologies, Inc. and the Company (incorporated by reference to Exhibit 10.11 to Amendment No. 2 to the Company’s Registration Statement on Form S-1 filed with the SEC on November 28, 2023).</w:t>
              </w:r>
            </w:hyperlink>
          </w:p>
        </w:tc>
      </w:tr>
      <w:tr>
        <w:trPr/>
        <w:tc>
          <w:tcPr>
            <w:tcW w:w="636" w:type="dxa"/>
            <w:tcBorders/>
            <w:shd w:fill="CCEEFF" w:val="clear"/>
            <w:vAlign w:val="center"/>
          </w:tcPr>
          <w:p>
            <w:pPr>
              <w:pStyle w:val="TableContents"/>
              <w:bidi w:val="0"/>
              <w:spacing w:before="0" w:after="283"/>
              <w:jc w:val="both"/>
              <w:rPr/>
            </w:pPr>
            <w:r>
              <w:rPr/>
              <w:t>10.12#</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1">
              <w:r>
                <w:rPr>
                  <w:rStyle w:val="InternetLink"/>
                </w:rPr>
                <w:t>Amendment No. 3 to the Master Framework Agreement, dated as of September 6, 2023 by and between Uber Technologies, Inc. and the Company (incorporated by reference to Exhibit 10.12 to Amendment No. 2 to the Company’s Registration Statement on Form S-1 filed with the SEC on November 28, 2023).</w:t>
              </w:r>
            </w:hyperlink>
          </w:p>
        </w:tc>
      </w:tr>
      <w:tr>
        <w:trPr/>
        <w:tc>
          <w:tcPr>
            <w:tcW w:w="636" w:type="dxa"/>
            <w:tcBorders/>
            <w:vAlign w:val="center"/>
          </w:tcPr>
          <w:p>
            <w:pPr>
              <w:pStyle w:val="TableContents"/>
              <w:bidi w:val="0"/>
              <w:spacing w:before="0" w:after="283"/>
              <w:jc w:val="both"/>
              <w:rPr/>
            </w:pPr>
            <w:r>
              <w:rPr/>
              <w:t>10.13#</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2">
              <w:r>
                <w:rPr>
                  <w:rStyle w:val="InternetLink"/>
                </w:rPr>
                <w:t>Project Plan #1, dated as of February 3, 2022, by and between Uber Technologies, Inc. and the Company (incorporated by reference to Exhibit 10.13 to Amendment No. 2 to the Company’s Registration Statement on Form S-1 filed with the SEC on November 28, 2023).</w:t>
              </w:r>
            </w:hyperlink>
          </w:p>
        </w:tc>
      </w:tr>
      <w:tr>
        <w:trPr/>
        <w:tc>
          <w:tcPr>
            <w:tcW w:w="636" w:type="dxa"/>
            <w:tcBorders/>
            <w:shd w:fill="CCEEFF" w:val="clear"/>
            <w:vAlign w:val="center"/>
          </w:tcPr>
          <w:p>
            <w:pPr>
              <w:pStyle w:val="TableContents"/>
              <w:bidi w:val="0"/>
              <w:spacing w:before="0" w:after="283"/>
              <w:jc w:val="both"/>
              <w:rPr/>
            </w:pPr>
            <w:r>
              <w:rPr/>
              <w:t>10.14#</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3">
              <w:r>
                <w:rPr>
                  <w:rStyle w:val="InternetLink"/>
                </w:rPr>
                <w:t>Project Plan #2, dated as of May 26, 2022, by and between Uber Technologies, Inc. and the Company (incorporated by reference to Exhibit 10.14 to Amendment No. 2 to the Company’s Registration Statement on Form S-1 filed with the SEC on November 28, 2023).</w:t>
              </w:r>
            </w:hyperlink>
          </w:p>
        </w:tc>
      </w:tr>
      <w:tr>
        <w:trPr/>
        <w:tc>
          <w:tcPr>
            <w:tcW w:w="636" w:type="dxa"/>
            <w:tcBorders/>
            <w:vAlign w:val="center"/>
          </w:tcPr>
          <w:p>
            <w:pPr>
              <w:pStyle w:val="TableContents"/>
              <w:bidi w:val="0"/>
              <w:spacing w:before="0" w:after="283"/>
              <w:jc w:val="both"/>
              <w:rPr/>
            </w:pPr>
            <w:r>
              <w:rPr/>
              <w:t>10.15</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4">
              <w:r>
                <w:rPr>
                  <w:rStyle w:val="InternetLink"/>
                </w:rPr>
                <w:t>Equipment Lease Agreement, dated as of June 6, 2022, by and between Farnam Street Financial, Inc. and the Company (incorporated by reference to Exhibit 10.14 to the Company’s Current Report on Form 8-K filed with the SEC on August 4, 2023).</w:t>
              </w:r>
            </w:hyperlink>
          </w:p>
        </w:tc>
      </w:tr>
      <w:tr>
        <w:trPr/>
        <w:tc>
          <w:tcPr>
            <w:tcW w:w="636" w:type="dxa"/>
            <w:tcBorders/>
            <w:shd w:fill="CCEEFF" w:val="clear"/>
            <w:vAlign w:val="center"/>
          </w:tcPr>
          <w:p>
            <w:pPr>
              <w:pStyle w:val="TableContents"/>
              <w:bidi w:val="0"/>
              <w:spacing w:before="0" w:after="283"/>
              <w:jc w:val="both"/>
              <w:rPr/>
            </w:pPr>
            <w:r>
              <w:rPr/>
              <w:t>10.16</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5">
              <w:r>
                <w:rPr>
                  <w:rStyle w:val="InternetLink"/>
                </w:rPr>
                <w:t>Lease Schedule No. 001R, dated December 3, 2022, to Equipment Lease Agreement dated as of June 6, 2022, by and between Farnam Street Financial, Inc. and the Company (incorporated by reference to Exhibit 10.16 to the Company’s Annual Report on Form 10-K filed with the SEC on February 29, 2024).</w:t>
              </w:r>
            </w:hyperlink>
          </w:p>
        </w:tc>
      </w:tr>
      <w:tr>
        <w:trPr/>
        <w:tc>
          <w:tcPr>
            <w:tcW w:w="636" w:type="dxa"/>
            <w:tcBorders/>
            <w:vAlign w:val="center"/>
          </w:tcPr>
          <w:p>
            <w:pPr>
              <w:pStyle w:val="TableContents"/>
              <w:bidi w:val="0"/>
              <w:spacing w:before="0" w:after="283"/>
              <w:jc w:val="both"/>
              <w:rPr/>
            </w:pPr>
            <w:r>
              <w:rPr/>
              <w:t>10.17</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6">
              <w:r>
                <w:rPr>
                  <w:rStyle w:val="InternetLink"/>
                </w:rPr>
                <w:t>Lease Schedule No. 002, dated December 28, 2023, to Equipment Lease Agreement dated as of June 6, 2022, by and between Farnam Street Financial, Inc. and the Company (incorporated by reference to Exhibit 10.17 to the Company’s Annual Report on Form 10-K filed with the SEC on February 29, 2024).</w:t>
              </w:r>
            </w:hyperlink>
          </w:p>
        </w:tc>
      </w:tr>
      <w:tr>
        <w:trPr/>
        <w:tc>
          <w:tcPr>
            <w:tcW w:w="636" w:type="dxa"/>
            <w:tcBorders/>
            <w:shd w:fill="CCEEFF" w:val="clear"/>
            <w:vAlign w:val="center"/>
          </w:tcPr>
          <w:p>
            <w:pPr>
              <w:pStyle w:val="TableContents"/>
              <w:bidi w:val="0"/>
              <w:spacing w:before="0" w:after="283"/>
              <w:jc w:val="both"/>
              <w:rPr/>
            </w:pPr>
            <w:r>
              <w:rPr/>
              <w:t>10.18#§</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7">
              <w:r>
                <w:rPr>
                  <w:rStyle w:val="InternetLink"/>
                </w:rPr>
                <w:t>Strategic Customer Agreement, dated as of December 31, 2021, by and between Ouster, Inc. and the Company (incorporated by reference to Exhibit 10.15 to the Company’s Current Report on Form 8-K filed with the SEC on August 4, 2023).</w:t>
              </w:r>
            </w:hyperlink>
          </w:p>
        </w:tc>
      </w:tr>
      <w:tr>
        <w:trPr/>
        <w:tc>
          <w:tcPr>
            <w:tcW w:w="636" w:type="dxa"/>
            <w:tcBorders/>
            <w:vAlign w:val="center"/>
          </w:tcPr>
          <w:p>
            <w:pPr>
              <w:pStyle w:val="TableContents"/>
              <w:bidi w:val="0"/>
              <w:spacing w:before="0" w:after="283"/>
              <w:jc w:val="both"/>
              <w:rPr/>
            </w:pPr>
            <w:r>
              <w:rPr/>
              <w:t>10.19§</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38">
              <w:r>
                <w:rPr>
                  <w:rStyle w:val="InternetLink"/>
                </w:rPr>
                <w:t>Loan and Security Agreement, dated as of March 1, 2022, by and between Silicon Valley Bank and the Company (incorporated by reference to Exhibit 10.16 to the Company’s Current Report on Form 8-K filed with the SEC on August 4, 2023).</w:t>
              </w:r>
            </w:hyperlink>
          </w:p>
        </w:tc>
      </w:tr>
      <w:tr>
        <w:trPr/>
        <w:tc>
          <w:tcPr>
            <w:tcW w:w="636" w:type="dxa"/>
            <w:tcBorders/>
            <w:shd w:fill="CCEEFF" w:val="clear"/>
            <w:vAlign w:val="center"/>
          </w:tcPr>
          <w:p>
            <w:pPr>
              <w:pStyle w:val="TableContents"/>
              <w:bidi w:val="0"/>
              <w:spacing w:before="0" w:after="283"/>
              <w:jc w:val="both"/>
              <w:rPr/>
            </w:pPr>
            <w:r>
              <w:rPr/>
              <w:t>10.20</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39">
              <w:r>
                <w:rPr>
                  <w:rStyle w:val="InternetLink"/>
                </w:rPr>
                <w:t>First Amendment to the Loan and Security Agreement, dated as of October 11, 2022, by and between Silicon Valley Bank and the Company (incorporated by reference to Exhibit 10.17 to the Company’s Current Report on Form 8-K filed with the SEC on August 4, 2023).</w:t>
              </w:r>
            </w:hyperlink>
          </w:p>
        </w:tc>
      </w:tr>
      <w:tr>
        <w:trPr/>
        <w:tc>
          <w:tcPr>
            <w:tcW w:w="636" w:type="dxa"/>
            <w:tcBorders/>
            <w:vAlign w:val="center"/>
          </w:tcPr>
          <w:p>
            <w:pPr>
              <w:pStyle w:val="TableContents"/>
              <w:bidi w:val="0"/>
              <w:spacing w:before="0" w:after="283"/>
              <w:jc w:val="both"/>
              <w:rPr/>
            </w:pPr>
            <w:r>
              <w:rPr/>
              <w:t>10.21</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40">
              <w:r>
                <w:rPr>
                  <w:rStyle w:val="InternetLink"/>
                </w:rPr>
                <w:t>Second Amendment to the Loan and Security Agreement, dated as of April 21, 2023, by and between Silicon Valley Bank, a division of First-Citizens Bank &amp; Trust Company and the Company (incorporated by reference to Exhibit 10.18 to the Company’s Current Report on Form 8-K filed with the SEC on August 4, 2023).</w:t>
              </w:r>
            </w:hyperlink>
          </w:p>
        </w:tc>
      </w:tr>
      <w:tr>
        <w:trPr/>
        <w:tc>
          <w:tcPr>
            <w:tcW w:w="636" w:type="dxa"/>
            <w:tcBorders/>
            <w:shd w:fill="CCEEFF" w:val="clear"/>
            <w:vAlign w:val="center"/>
          </w:tcPr>
          <w:p>
            <w:pPr>
              <w:pStyle w:val="TableContents"/>
              <w:bidi w:val="0"/>
              <w:spacing w:before="0" w:after="283"/>
              <w:jc w:val="both"/>
              <w:rPr/>
            </w:pPr>
            <w:r>
              <w:rPr/>
              <w:t>10.22</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41">
              <w:r>
                <w:rPr>
                  <w:rStyle w:val="InternetLink"/>
                </w:rPr>
                <w:t>Third Amendment to the Loan and Security Agreement, dated as of July 28, 2023, by and between Silicon Valley Bank, a division of First-Citizens Bank &amp; Trust Company and the Company (incorporated by reference to Exhibit 10.19 to the Company’s Current Report on Form 8-K filed with the SEC on August 4, 2023).</w:t>
              </w:r>
            </w:hyperlink>
          </w:p>
        </w:tc>
      </w:tr>
      <w:tr>
        <w:trPr/>
        <w:tc>
          <w:tcPr>
            <w:tcW w:w="636" w:type="dxa"/>
            <w:tcBorders/>
            <w:vAlign w:val="center"/>
          </w:tcPr>
          <w:p>
            <w:pPr>
              <w:pStyle w:val="TableContents"/>
              <w:bidi w:val="0"/>
              <w:spacing w:before="0" w:after="283"/>
              <w:jc w:val="both"/>
              <w:rPr/>
            </w:pPr>
            <w:r>
              <w:rPr/>
              <w:t>10.23</w:t>
            </w:r>
          </w:p>
        </w:tc>
        <w:tc>
          <w:tcPr>
            <w:tcW w:w="60" w:type="dxa"/>
            <w:tcBorders/>
            <w:vAlign w:val="center"/>
          </w:tcPr>
          <w:p>
            <w:pPr>
              <w:pStyle w:val="TableContents"/>
              <w:bidi w:val="0"/>
              <w:spacing w:before="0" w:after="283"/>
              <w:jc w:val="both"/>
              <w:rPr/>
            </w:pPr>
            <w:r>
              <w:rPr/>
              <w:t> </w:t>
            </w:r>
          </w:p>
        </w:tc>
        <w:tc>
          <w:tcPr>
            <w:tcW w:w="9509" w:type="dxa"/>
            <w:tcBorders/>
            <w:vAlign w:val="center"/>
          </w:tcPr>
          <w:p>
            <w:pPr>
              <w:pStyle w:val="TableContents"/>
              <w:bidi w:val="0"/>
              <w:spacing w:before="0" w:after="283"/>
              <w:jc w:val="both"/>
              <w:rPr/>
            </w:pPr>
            <w:hyperlink r:id="rId42">
              <w:r>
                <w:rPr>
                  <w:rStyle w:val="InternetLink"/>
                </w:rPr>
                <w:t>Fourth Amendment to the Loan and Security Agreement, dated as of January 3, 2024, by and between Silicon Valley Bank, a division of First-Citizens Bank &amp; Trust Company, the Company and Serve Operating Co. (incorporated by reference to Exhibit 10.23 to the Company’s Annual Report on Form 10-K filed with the SEC on February 29, 2024).</w:t>
              </w:r>
            </w:hyperlink>
          </w:p>
        </w:tc>
      </w:tr>
      <w:tr>
        <w:trPr/>
        <w:tc>
          <w:tcPr>
            <w:tcW w:w="636" w:type="dxa"/>
            <w:tcBorders/>
            <w:shd w:fill="CCEEFF" w:val="clear"/>
            <w:vAlign w:val="center"/>
          </w:tcPr>
          <w:p>
            <w:pPr>
              <w:pStyle w:val="TableContents"/>
              <w:bidi w:val="0"/>
              <w:spacing w:before="0" w:after="283"/>
              <w:jc w:val="both"/>
              <w:rPr/>
            </w:pPr>
            <w:r>
              <w:rPr/>
              <w:t>10.24</w:t>
            </w:r>
          </w:p>
        </w:tc>
        <w:tc>
          <w:tcPr>
            <w:tcW w:w="60" w:type="dxa"/>
            <w:tcBorders/>
            <w:shd w:fill="CCEEFF" w:val="clear"/>
            <w:vAlign w:val="center"/>
          </w:tcPr>
          <w:p>
            <w:pPr>
              <w:pStyle w:val="TableContents"/>
              <w:bidi w:val="0"/>
              <w:spacing w:before="0" w:after="283"/>
              <w:jc w:val="both"/>
              <w:rPr/>
            </w:pPr>
            <w:r>
              <w:rPr/>
              <w:t> </w:t>
            </w:r>
          </w:p>
        </w:tc>
        <w:tc>
          <w:tcPr>
            <w:tcW w:w="9509" w:type="dxa"/>
            <w:tcBorders/>
            <w:shd w:fill="CCEEFF" w:val="clear"/>
            <w:vAlign w:val="center"/>
          </w:tcPr>
          <w:p>
            <w:pPr>
              <w:pStyle w:val="TableContents"/>
              <w:bidi w:val="0"/>
              <w:spacing w:before="0" w:after="283"/>
              <w:jc w:val="both"/>
              <w:rPr/>
            </w:pPr>
            <w:hyperlink r:id="rId43">
              <w:r>
                <w:rPr>
                  <w:rStyle w:val="InternetLink"/>
                </w:rPr>
                <w:t>Form of Lock-Up Agreement (incorporated by reference to Exhibit 10.20 to the Current Report on Form 8-K filed with the SEC on August 4, 2023).</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
        <w:gridCol w:w="60"/>
        <w:gridCol w:w="9461"/>
      </w:tblGrid>
      <w:tr>
        <w:trPr/>
        <w:tc>
          <w:tcPr>
            <w:tcW w:w="684" w:type="dxa"/>
            <w:tcBorders/>
            <w:shd w:fill="CCEEFF" w:val="clear"/>
            <w:vAlign w:val="center"/>
          </w:tcPr>
          <w:p>
            <w:pPr>
              <w:pStyle w:val="TableContents"/>
              <w:bidi w:val="0"/>
              <w:spacing w:before="0" w:after="283"/>
              <w:jc w:val="both"/>
              <w:rPr/>
            </w:pPr>
            <w:r>
              <w:rPr/>
              <w:t>10.25</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44">
              <w:r>
                <w:rPr>
                  <w:rStyle w:val="InternetLink"/>
                </w:rPr>
                <w:t>Form of Pre-Merger Indemnification Agreement (incorporated by reference to Exhibit 10.21 to the Company’s Current Report on Form 8-K filed with the SEC on August 4, 2023).</w:t>
              </w:r>
            </w:hyperlink>
          </w:p>
        </w:tc>
      </w:tr>
      <w:tr>
        <w:trPr/>
        <w:tc>
          <w:tcPr>
            <w:tcW w:w="684" w:type="dxa"/>
            <w:tcBorders/>
            <w:vAlign w:val="center"/>
          </w:tcPr>
          <w:p>
            <w:pPr>
              <w:pStyle w:val="TableContents"/>
              <w:bidi w:val="0"/>
              <w:spacing w:before="0" w:after="283"/>
              <w:jc w:val="both"/>
              <w:rPr/>
            </w:pPr>
            <w:r>
              <w:rPr/>
              <w:t>10.26</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r:id="rId45">
              <w:r>
                <w:rPr>
                  <w:rStyle w:val="InternetLink"/>
                </w:rPr>
                <w:t>Subscription Agreement, dated July 31, 2023, by and between the Company and the parties thereto (incorporated by reference to Exhibit 10.22 to the Company’s Current Report on Form 8-K filed with the SEC on August 4, 2023).</w:t>
              </w:r>
            </w:hyperlink>
          </w:p>
        </w:tc>
      </w:tr>
      <w:tr>
        <w:trPr/>
        <w:tc>
          <w:tcPr>
            <w:tcW w:w="684" w:type="dxa"/>
            <w:tcBorders/>
            <w:shd w:fill="CCEEFF" w:val="clear"/>
            <w:vAlign w:val="center"/>
          </w:tcPr>
          <w:p>
            <w:pPr>
              <w:pStyle w:val="TableContents"/>
              <w:bidi w:val="0"/>
              <w:spacing w:before="0" w:after="283"/>
              <w:jc w:val="both"/>
              <w:rPr/>
            </w:pPr>
            <w:r>
              <w:rPr/>
              <w:t>10.27</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46">
              <w:r>
                <w:rPr>
                  <w:rStyle w:val="InternetLink"/>
                </w:rPr>
                <w:t>Form of Registration Rights Agreement, by and between the Company and the parties thereto (incorporated by reference to Exhibit 10.23 to the Company’s Current Report on Form 8-K filed with the SEC on August 4, 2023).</w:t>
              </w:r>
            </w:hyperlink>
          </w:p>
        </w:tc>
      </w:tr>
      <w:tr>
        <w:trPr/>
        <w:tc>
          <w:tcPr>
            <w:tcW w:w="684" w:type="dxa"/>
            <w:tcBorders/>
            <w:vAlign w:val="center"/>
          </w:tcPr>
          <w:p>
            <w:pPr>
              <w:pStyle w:val="TableContents"/>
              <w:bidi w:val="0"/>
              <w:spacing w:before="0" w:after="283"/>
              <w:jc w:val="both"/>
              <w:rPr/>
            </w:pPr>
            <w:r>
              <w:rPr/>
              <w:t>10.28+</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r:id="rId47">
              <w:r>
                <w:rPr>
                  <w:rStyle w:val="InternetLink"/>
                </w:rPr>
                <w:t>2021 Stock Plan and form of award agreements (incorporated by reference to Exhibit 10.24 to the Company’s Current Report on Form 8-K filed with the SEC on August 4, 2023).</w:t>
              </w:r>
            </w:hyperlink>
          </w:p>
        </w:tc>
      </w:tr>
      <w:tr>
        <w:trPr/>
        <w:tc>
          <w:tcPr>
            <w:tcW w:w="684" w:type="dxa"/>
            <w:tcBorders/>
            <w:shd w:fill="CCEEFF" w:val="clear"/>
            <w:vAlign w:val="center"/>
          </w:tcPr>
          <w:p>
            <w:pPr>
              <w:pStyle w:val="TableContents"/>
              <w:bidi w:val="0"/>
              <w:spacing w:before="0" w:after="283"/>
              <w:jc w:val="both"/>
              <w:rPr/>
            </w:pPr>
            <w:r>
              <w:rPr/>
              <w:t>10.29+</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48">
              <w:r>
                <w:rPr>
                  <w:rStyle w:val="InternetLink"/>
                </w:rPr>
                <w:t>2023 Equity Incentive Plan and form of award agreements (incorporated by reference to Exhibit 10.29 to the Company’s Annual Report on Form 10-K filed with the SEC on February 29, 2024).</w:t>
              </w:r>
            </w:hyperlink>
          </w:p>
        </w:tc>
      </w:tr>
      <w:tr>
        <w:trPr/>
        <w:tc>
          <w:tcPr>
            <w:tcW w:w="684" w:type="dxa"/>
            <w:tcBorders/>
            <w:vAlign w:val="center"/>
          </w:tcPr>
          <w:p>
            <w:pPr>
              <w:pStyle w:val="TableContents"/>
              <w:bidi w:val="0"/>
              <w:spacing w:before="0" w:after="283"/>
              <w:jc w:val="both"/>
              <w:rPr/>
            </w:pPr>
            <w:r>
              <w:rPr/>
              <w:t>10.30#§</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r:id="rId49">
              <w:r>
                <w:rPr>
                  <w:rStyle w:val="InternetLink"/>
                </w:rPr>
                <w:t>Master Services Agreement, dated as of February 1, 2024 and effective as of January 15, 2024, by and between Magna New Mobility USA, Inc. and Serve Operating Co. (incorporated by reference to Exhibit 10.1 to the Company’s Current Report on Form 8-K filed with the SEC on February 7, 2024).</w:t>
              </w:r>
            </w:hyperlink>
          </w:p>
        </w:tc>
      </w:tr>
      <w:tr>
        <w:trPr/>
        <w:tc>
          <w:tcPr>
            <w:tcW w:w="684" w:type="dxa"/>
            <w:tcBorders/>
            <w:shd w:fill="CCEEFF" w:val="clear"/>
            <w:vAlign w:val="center"/>
          </w:tcPr>
          <w:p>
            <w:pPr>
              <w:pStyle w:val="TableContents"/>
              <w:bidi w:val="0"/>
              <w:spacing w:before="0" w:after="283"/>
              <w:jc w:val="both"/>
              <w:rPr/>
            </w:pPr>
            <w:r>
              <w:rPr/>
              <w:t>10.31#</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50">
              <w:r>
                <w:rPr>
                  <w:rStyle w:val="InternetLink"/>
                </w:rPr>
                <w:t>Statement of Work, dated as of February 1, 2024 and effective as of January 15, 2024, by and between Magna New Mobility USA, Inc. and Serve Operating Co. (incorporated by reference to Exhibit 10.2 to the Company’s Current Report on Form 8-K filed with the SEC on February 7, 2024).</w:t>
              </w:r>
            </w:hyperlink>
          </w:p>
        </w:tc>
      </w:tr>
      <w:tr>
        <w:trPr/>
        <w:tc>
          <w:tcPr>
            <w:tcW w:w="684" w:type="dxa"/>
            <w:tcBorders/>
            <w:vAlign w:val="center"/>
          </w:tcPr>
          <w:p>
            <w:pPr>
              <w:pStyle w:val="TableContents"/>
              <w:bidi w:val="0"/>
              <w:spacing w:before="0" w:after="283"/>
              <w:jc w:val="both"/>
              <w:rPr/>
            </w:pPr>
            <w:r>
              <w:rPr/>
              <w:t>10.32+§</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r:id="rId51">
              <w:r>
                <w:rPr>
                  <w:rStyle w:val="InternetLink"/>
                </w:rPr>
                <w:t>Offer Letter, dated March 24, 2024, by and between Brian Read and Serve Operating Co. (incorporated by reference to Exhibit 10.1 to the Company’s Current Report on Form 8-K filed with the SEC on April 9, 2024).</w:t>
              </w:r>
            </w:hyperlink>
          </w:p>
        </w:tc>
      </w:tr>
      <w:tr>
        <w:trPr/>
        <w:tc>
          <w:tcPr>
            <w:tcW w:w="684" w:type="dxa"/>
            <w:tcBorders/>
            <w:shd w:fill="CCEEFF" w:val="clear"/>
            <w:vAlign w:val="center"/>
          </w:tcPr>
          <w:p>
            <w:pPr>
              <w:pStyle w:val="TableContents"/>
              <w:bidi w:val="0"/>
              <w:spacing w:before="0" w:after="283"/>
              <w:jc w:val="both"/>
              <w:rPr/>
            </w:pPr>
            <w:r>
              <w:rPr/>
              <w:t>21.1</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52">
              <w:r>
                <w:rPr>
                  <w:rStyle w:val="InternetLink"/>
                </w:rPr>
                <w:t>Subsidiaries of the Registrant (incorporated by reference to Exhibit 21.1 to the Company’s Current Report on Form 8-K filed with the SEC on August 4, 2023).</w:t>
              </w:r>
            </w:hyperlink>
          </w:p>
        </w:tc>
      </w:tr>
      <w:tr>
        <w:trPr/>
        <w:tc>
          <w:tcPr>
            <w:tcW w:w="684" w:type="dxa"/>
            <w:tcBorders/>
            <w:vAlign w:val="center"/>
          </w:tcPr>
          <w:p>
            <w:pPr>
              <w:pStyle w:val="TableContents"/>
              <w:bidi w:val="0"/>
              <w:spacing w:before="0" w:after="283"/>
              <w:jc w:val="both"/>
              <w:rPr/>
            </w:pPr>
            <w:r>
              <w:rPr/>
              <w:t>23.1*</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w:anchor="ea020358801ex23-1_serverob.htm">
              <w:r>
                <w:rPr>
                  <w:rStyle w:val="InternetLink"/>
                </w:rPr>
                <w:t>Consent of dbbmckennon, independent registered public accounting firm.</w:t>
              </w:r>
            </w:hyperlink>
          </w:p>
        </w:tc>
      </w:tr>
      <w:tr>
        <w:trPr/>
        <w:tc>
          <w:tcPr>
            <w:tcW w:w="684" w:type="dxa"/>
            <w:tcBorders/>
            <w:shd w:fill="CCEEFF" w:val="clear"/>
            <w:vAlign w:val="center"/>
          </w:tcPr>
          <w:p>
            <w:pPr>
              <w:pStyle w:val="TableContents"/>
              <w:bidi w:val="0"/>
              <w:spacing w:before="0" w:after="283"/>
              <w:jc w:val="both"/>
              <w:rPr/>
            </w:pPr>
            <w:r>
              <w:rPr/>
              <w:t>23.2**</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hyperlink r:id="rId53">
              <w:r>
                <w:rPr>
                  <w:rStyle w:val="InternetLink"/>
                </w:rPr>
                <w:t>Consent of Orrick, Herrington &amp; Sutcliffe LLP (included in Exhibit 5.1).</w:t>
              </w:r>
            </w:hyperlink>
          </w:p>
        </w:tc>
      </w:tr>
      <w:tr>
        <w:trPr/>
        <w:tc>
          <w:tcPr>
            <w:tcW w:w="684" w:type="dxa"/>
            <w:tcBorders/>
            <w:vAlign w:val="center"/>
          </w:tcPr>
          <w:p>
            <w:pPr>
              <w:pStyle w:val="TableContents"/>
              <w:bidi w:val="0"/>
              <w:spacing w:before="0" w:after="283"/>
              <w:jc w:val="both"/>
              <w:rPr/>
            </w:pPr>
            <w:r>
              <w:rPr/>
              <w:t>24.1**</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fldChar w:fldCharType="begin"/>
            </w:r>
            <w:r>
              <w:rPr>
                <w:rStyle w:val="InternetLink"/>
              </w:rPr>
              <w:instrText xml:space="preserve"> HYPERLINK "http://www.sec.gov/Archives/edgar/data/1832483/000121390024021137/ea0201013-s1_serverob.htm" \l "a_029"</w:instrText>
            </w:r>
            <w:r>
              <w:rPr>
                <w:rStyle w:val="InternetLink"/>
              </w:rPr>
              <w:fldChar w:fldCharType="separate"/>
            </w:r>
            <w:r>
              <w:rPr>
                <w:rStyle w:val="InternetLink"/>
              </w:rPr>
              <w:t>Power of Attorney (included on the signature page of the initial filing of the Registration Statement)</w:t>
            </w:r>
            <w:r>
              <w:rPr>
                <w:rStyle w:val="InternetLink"/>
              </w:rPr>
              <w:fldChar w:fldCharType="end"/>
            </w:r>
          </w:p>
        </w:tc>
      </w:tr>
      <w:tr>
        <w:trPr/>
        <w:tc>
          <w:tcPr>
            <w:tcW w:w="684" w:type="dxa"/>
            <w:tcBorders/>
            <w:shd w:fill="CCEEFF" w:val="clear"/>
            <w:vAlign w:val="center"/>
          </w:tcPr>
          <w:p>
            <w:pPr>
              <w:pStyle w:val="TableContents"/>
              <w:bidi w:val="0"/>
              <w:spacing w:before="0" w:after="283"/>
              <w:jc w:val="both"/>
              <w:rPr/>
            </w:pPr>
            <w:r>
              <w:rPr/>
              <w:t>101.INS</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r>
              <w:rPr/>
              <w:t>Inline XBRL Instance Document.</w:t>
            </w:r>
          </w:p>
        </w:tc>
      </w:tr>
      <w:tr>
        <w:trPr/>
        <w:tc>
          <w:tcPr>
            <w:tcW w:w="684" w:type="dxa"/>
            <w:tcBorders/>
            <w:vAlign w:val="center"/>
          </w:tcPr>
          <w:p>
            <w:pPr>
              <w:pStyle w:val="TableContents"/>
              <w:bidi w:val="0"/>
              <w:spacing w:before="0" w:after="283"/>
              <w:jc w:val="both"/>
              <w:rPr/>
            </w:pPr>
            <w:r>
              <w:rPr/>
              <w:t>101.SCH</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Inline XBRL Taxonomy Extension Schema Document.</w:t>
            </w:r>
          </w:p>
        </w:tc>
      </w:tr>
      <w:tr>
        <w:trPr/>
        <w:tc>
          <w:tcPr>
            <w:tcW w:w="684" w:type="dxa"/>
            <w:tcBorders/>
            <w:shd w:fill="CCEEFF" w:val="clear"/>
            <w:vAlign w:val="center"/>
          </w:tcPr>
          <w:p>
            <w:pPr>
              <w:pStyle w:val="TableContents"/>
              <w:bidi w:val="0"/>
              <w:spacing w:before="0" w:after="283"/>
              <w:jc w:val="both"/>
              <w:rPr/>
            </w:pPr>
            <w:r>
              <w:rPr/>
              <w:t>101.CAL</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r>
              <w:rPr/>
              <w:t>Inline XBRL Taxonomy Extension Calculation Linkbase Document.</w:t>
            </w:r>
          </w:p>
        </w:tc>
      </w:tr>
      <w:tr>
        <w:trPr/>
        <w:tc>
          <w:tcPr>
            <w:tcW w:w="684" w:type="dxa"/>
            <w:tcBorders/>
            <w:vAlign w:val="center"/>
          </w:tcPr>
          <w:p>
            <w:pPr>
              <w:pStyle w:val="TableContents"/>
              <w:bidi w:val="0"/>
              <w:spacing w:before="0" w:after="283"/>
              <w:jc w:val="both"/>
              <w:rPr/>
            </w:pPr>
            <w:r>
              <w:rPr/>
              <w:t>101.DEF</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Inline XBRL Taxonomy Extension Definition Linkbase Document.</w:t>
            </w:r>
          </w:p>
        </w:tc>
      </w:tr>
      <w:tr>
        <w:trPr/>
        <w:tc>
          <w:tcPr>
            <w:tcW w:w="684" w:type="dxa"/>
            <w:tcBorders/>
            <w:shd w:fill="CCEEFF" w:val="clear"/>
            <w:vAlign w:val="center"/>
          </w:tcPr>
          <w:p>
            <w:pPr>
              <w:pStyle w:val="TableContents"/>
              <w:bidi w:val="0"/>
              <w:spacing w:before="0" w:after="283"/>
              <w:jc w:val="both"/>
              <w:rPr/>
            </w:pPr>
            <w:r>
              <w:rPr/>
              <w:t>101.LAB</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r>
              <w:rPr/>
              <w:t>Inline XBRL Taxonomy Extension Label Linkbase Document.</w:t>
            </w:r>
          </w:p>
        </w:tc>
      </w:tr>
      <w:tr>
        <w:trPr/>
        <w:tc>
          <w:tcPr>
            <w:tcW w:w="684" w:type="dxa"/>
            <w:tcBorders/>
            <w:vAlign w:val="center"/>
          </w:tcPr>
          <w:p>
            <w:pPr>
              <w:pStyle w:val="TableContents"/>
              <w:bidi w:val="0"/>
              <w:spacing w:before="0" w:after="283"/>
              <w:jc w:val="both"/>
              <w:rPr/>
            </w:pPr>
            <w:r>
              <w:rPr/>
              <w:t>101.PRE</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r>
              <w:rPr/>
              <w:t>Inline XBRL Taxonomy Extension Presentation Linkbase Document.</w:t>
            </w:r>
          </w:p>
        </w:tc>
      </w:tr>
      <w:tr>
        <w:trPr/>
        <w:tc>
          <w:tcPr>
            <w:tcW w:w="684" w:type="dxa"/>
            <w:tcBorders/>
            <w:shd w:fill="CCEEFF" w:val="clear"/>
            <w:vAlign w:val="center"/>
          </w:tcPr>
          <w:p>
            <w:pPr>
              <w:pStyle w:val="TableContents"/>
              <w:bidi w:val="0"/>
              <w:spacing w:before="0" w:after="283"/>
              <w:jc w:val="both"/>
              <w:rPr/>
            </w:pPr>
            <w:r>
              <w:rPr/>
              <w:t>104</w:t>
            </w:r>
          </w:p>
        </w:tc>
        <w:tc>
          <w:tcPr>
            <w:tcW w:w="60" w:type="dxa"/>
            <w:tcBorders/>
            <w:shd w:fill="CCEEFF" w:val="clear"/>
            <w:vAlign w:val="center"/>
          </w:tcPr>
          <w:p>
            <w:pPr>
              <w:pStyle w:val="TableContents"/>
              <w:bidi w:val="0"/>
              <w:spacing w:before="0" w:after="283"/>
              <w:jc w:val="both"/>
              <w:rPr/>
            </w:pPr>
            <w:r>
              <w:rPr/>
              <w:t> </w:t>
            </w:r>
          </w:p>
        </w:tc>
        <w:tc>
          <w:tcPr>
            <w:tcW w:w="9461" w:type="dxa"/>
            <w:tcBorders/>
            <w:shd w:fill="CCEEFF" w:val="clear"/>
            <w:vAlign w:val="center"/>
          </w:tcPr>
          <w:p>
            <w:pPr>
              <w:pStyle w:val="TableContents"/>
              <w:bidi w:val="0"/>
              <w:spacing w:before="0" w:after="283"/>
              <w:jc w:val="both"/>
              <w:rPr/>
            </w:pPr>
            <w:r>
              <w:rPr/>
              <w:t>Cover Page Interactive Data File (formatted as Inline XBRL and contained in Exhibit 101).</w:t>
            </w:r>
          </w:p>
        </w:tc>
      </w:tr>
      <w:tr>
        <w:trPr/>
        <w:tc>
          <w:tcPr>
            <w:tcW w:w="684" w:type="dxa"/>
            <w:tcBorders/>
            <w:vAlign w:val="center"/>
          </w:tcPr>
          <w:p>
            <w:pPr>
              <w:pStyle w:val="TableContents"/>
              <w:bidi w:val="0"/>
              <w:spacing w:before="0" w:after="283"/>
              <w:jc w:val="both"/>
              <w:rPr/>
            </w:pPr>
            <w:r>
              <w:rPr/>
              <w:t>107*</w:t>
            </w:r>
          </w:p>
        </w:tc>
        <w:tc>
          <w:tcPr>
            <w:tcW w:w="60" w:type="dxa"/>
            <w:tcBorders/>
            <w:vAlign w:val="center"/>
          </w:tcPr>
          <w:p>
            <w:pPr>
              <w:pStyle w:val="TableContents"/>
              <w:bidi w:val="0"/>
              <w:spacing w:before="0" w:after="283"/>
              <w:jc w:val="both"/>
              <w:rPr/>
            </w:pPr>
            <w:r>
              <w:rPr/>
              <w:t> </w:t>
            </w:r>
          </w:p>
        </w:tc>
        <w:tc>
          <w:tcPr>
            <w:tcW w:w="9461" w:type="dxa"/>
            <w:tcBorders/>
            <w:vAlign w:val="center"/>
          </w:tcPr>
          <w:p>
            <w:pPr>
              <w:pStyle w:val="TableContents"/>
              <w:bidi w:val="0"/>
              <w:spacing w:before="0" w:after="283"/>
              <w:jc w:val="both"/>
              <w:rPr/>
            </w:pPr>
            <w:hyperlink w:anchor="ea020358801ex-fee_serverob.htm">
              <w:r>
                <w:rPr>
                  <w:rStyle w:val="InternetLink"/>
                </w:rPr>
                <w:t>Calculation of Filing Fee</w:t>
              </w:r>
            </w:hyperlink>
          </w:p>
        </w:tc>
      </w:tr>
    </w:tbl>
    <w:p>
      <w:pPr>
        <w:pStyle w:val="TextBody"/>
        <w:bidi w:val="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4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w:t>
            </w:r>
          </w:p>
        </w:tc>
      </w:tr>
    </w:tbl>
    <w:p>
      <w:pPr>
        <w:pStyle w:val="TextBody"/>
        <w:bidi w:val="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70"/>
        <w:gridCol w:w="8030"/>
      </w:tblGrid>
      <w:tr>
        <w:trPr/>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pPr>
            <w:r>
              <w:rPr/>
              <w:t>Indicates a management contract or any compensatory plan, contract or arrangement.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Portions of this exhibit (indicated by asterisks) have been omitted in accordance with Item 601(b)(10) of Regulation S-K. The registrant has furnished supplementally copies of the omitted portions of this exhibit to the SEC upon its request.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exhibits or schedules to this exhibit have been omitted in accordance with Item 601(a)(5) of Regulation S-K. The registrant hereby agrees to furnish supplementally a copy of any omitted exhibit or schedule to the SEC upon its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bookmarkStart w:id="37" w:name="a_029"/>
      <w:bookmarkEnd w:id="37"/>
      <w:r>
        <w:rPr>
          <w:rFonts w:ascii="Times New Roman;Times;Serif" w:hAnsi="Times New Roman;Times;Serif"/>
          <w:b/>
          <w:i w:val="false"/>
          <w:smallCaps/>
          <w:sz w:val="20"/>
        </w:rPr>
        <w:t>SIGNATURES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Registration Statement to be signed on its behalf by the undersigned, thereunto duly authorized, in the City of Redwood City, State of California, on this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2024.</w:t>
      </w:r>
    </w:p>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320"/>
        <w:gridCol w:w="1940"/>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Serve Robotics Inc.</w:t>
            </w:r>
          </w:p>
        </w:tc>
      </w:tr>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pPr>
            <w:r>
              <w:rPr/>
              <w:t>/s/ Ali Kashani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indicated on the date indicated:</w:t>
      </w:r>
    </w:p>
    <w:p>
      <w:pPr>
        <w:pStyle w:val="TextBody"/>
        <w:bidi w:val="0"/>
        <w:spacing w:before="0" w:after="0"/>
        <w:ind w:left="0" w:right="0" w:hanging="0"/>
        <w:jc w:val="both"/>
        <w:rPr>
          <w:caps w:val="false"/>
          <w:smallCaps w:val="false"/>
        </w:rPr>
      </w:pPr>
      <w:r>
        <w:rPr>
          <w:caps w:val="false"/>
          <w:smallCaps w:val="false"/>
        </w:rPr>
        <w:t> </w:t>
      </w:r>
    </w:p>
    <w:tbl>
      <w:tblPr>
        <w:tblW w:w="9765" w:type="dxa"/>
        <w:jc w:val="left"/>
        <w:tblInd w:w="0" w:type="dxa"/>
        <w:tblLayout w:type="fixed"/>
        <w:tblCellMar>
          <w:top w:w="0" w:type="dxa"/>
          <w:left w:w="0" w:type="dxa"/>
          <w:bottom w:w="28" w:type="dxa"/>
          <w:right w:w="0" w:type="dxa"/>
        </w:tblCellMar>
      </w:tblPr>
      <w:tblGrid>
        <w:gridCol w:w="2045"/>
        <w:gridCol w:w="60"/>
        <w:gridCol w:w="6170"/>
        <w:gridCol w:w="60"/>
        <w:gridCol w:w="1430"/>
      </w:tblGrid>
      <w:tr>
        <w:trPr/>
        <w:tc>
          <w:tcPr>
            <w:tcW w:w="2045" w:type="dxa"/>
            <w:tcBorders>
              <w:bottom w:val="single" w:sz="12" w:space="0" w:color="000000"/>
            </w:tcBorders>
            <w:vAlign w:val="center"/>
          </w:tcPr>
          <w:p>
            <w:pPr>
              <w:pStyle w:val="TableContents"/>
              <w:bidi w:val="0"/>
              <w:spacing w:before="0" w:after="283"/>
              <w:jc w:val="both"/>
              <w:rPr>
                <w:b/>
              </w:rPr>
            </w:pPr>
            <w:r>
              <w:rPr>
                <w:b/>
              </w:rPr>
              <w:t>Signature</w:t>
            </w:r>
          </w:p>
        </w:tc>
        <w:tc>
          <w:tcPr>
            <w:tcW w:w="60" w:type="dxa"/>
            <w:tcBorders/>
            <w:tcMar>
              <w:bottom w:w="0" w:type="dxa"/>
            </w:tcMar>
            <w:vAlign w:val="center"/>
          </w:tcPr>
          <w:p>
            <w:pPr>
              <w:pStyle w:val="TableContents"/>
              <w:bidi w:val="0"/>
              <w:spacing w:before="0" w:after="283"/>
              <w:jc w:val="both"/>
              <w:rPr/>
            </w:pPr>
            <w:r>
              <w:rPr/>
              <w:t> </w:t>
            </w:r>
          </w:p>
        </w:tc>
        <w:tc>
          <w:tcPr>
            <w:tcW w:w="6170"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both"/>
              <w:rPr/>
            </w:pPr>
            <w:r>
              <w:rPr/>
              <w:t> </w:t>
            </w:r>
          </w:p>
        </w:tc>
        <w:tc>
          <w:tcPr>
            <w:tcW w:w="1430" w:type="dxa"/>
            <w:tcBorders>
              <w:bottom w:val="single" w:sz="12" w:space="0" w:color="000000"/>
            </w:tcBorders>
            <w:vAlign w:val="center"/>
          </w:tcPr>
          <w:p>
            <w:pPr>
              <w:pStyle w:val="TableContents"/>
              <w:bidi w:val="0"/>
              <w:spacing w:before="0" w:after="283"/>
              <w:jc w:val="center"/>
              <w:rPr>
                <w:b/>
              </w:rPr>
            </w:pPr>
            <w:r>
              <w:rPr>
                <w:b/>
              </w:rPr>
              <w:t>Date</w:t>
            </w:r>
          </w:p>
        </w:tc>
      </w:tr>
      <w:tr>
        <w:trPr/>
        <w:tc>
          <w:tcPr>
            <w:tcW w:w="20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 </w:t>
            </w:r>
          </w:p>
        </w:tc>
      </w:tr>
      <w:tr>
        <w:trPr/>
        <w:tc>
          <w:tcPr>
            <w:tcW w:w="2045" w:type="dxa"/>
            <w:tcBorders>
              <w:bottom w:val="single" w:sz="12" w:space="0" w:color="000000"/>
            </w:tcBorders>
            <w:vAlign w:val="center"/>
          </w:tcPr>
          <w:p>
            <w:pPr>
              <w:pStyle w:val="TableContents"/>
              <w:bidi w:val="0"/>
              <w:spacing w:before="0" w:after="283"/>
              <w:jc w:val="both"/>
              <w:rPr/>
            </w:pPr>
            <w:r>
              <w:rPr/>
              <w:t>/s/ Ali Kashani</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Chief Executive Officer, and Chairman of the Board of Directors</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April 12, 2024</w:t>
            </w:r>
          </w:p>
        </w:tc>
      </w:tr>
      <w:tr>
        <w:trPr/>
        <w:tc>
          <w:tcPr>
            <w:tcW w:w="2045" w:type="dxa"/>
            <w:tcBorders/>
            <w:tcMar>
              <w:bottom w:w="0" w:type="dxa"/>
            </w:tcMar>
            <w:vAlign w:val="center"/>
          </w:tcPr>
          <w:p>
            <w:pPr>
              <w:pStyle w:val="TableContents"/>
              <w:bidi w:val="0"/>
              <w:spacing w:before="0" w:after="283"/>
              <w:jc w:val="both"/>
              <w:rPr/>
            </w:pPr>
            <w:r>
              <w:rPr/>
              <w:t>Ali Kashani</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i/>
              </w:rPr>
            </w:pPr>
            <w:r>
              <w:rPr>
                <w:i/>
              </w:rPr>
              <w:t>(principal executive officer)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12"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President and Chief Operating Officer and 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April 12, 2024</w:t>
            </w:r>
          </w:p>
        </w:tc>
      </w:tr>
      <w:tr>
        <w:trPr/>
        <w:tc>
          <w:tcPr>
            <w:tcW w:w="2045" w:type="dxa"/>
            <w:tcBorders/>
            <w:tcMar>
              <w:bottom w:w="0" w:type="dxa"/>
            </w:tcMar>
            <w:vAlign w:val="center"/>
          </w:tcPr>
          <w:p>
            <w:pPr>
              <w:pStyle w:val="TableContents"/>
              <w:bidi w:val="0"/>
              <w:spacing w:before="0" w:after="283"/>
              <w:jc w:val="both"/>
              <w:rPr/>
            </w:pPr>
            <w:r>
              <w:rPr/>
              <w:t>Touraj Parang</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12" w:space="0" w:color="000000"/>
            </w:tcBorders>
            <w:vAlign w:val="center"/>
          </w:tcPr>
          <w:p>
            <w:pPr>
              <w:pStyle w:val="TableContents"/>
              <w:bidi w:val="0"/>
              <w:spacing w:before="0" w:after="283"/>
              <w:jc w:val="left"/>
              <w:rPr/>
            </w:pPr>
            <w:r>
              <w:rPr/>
              <w:t>/s/ April Pannell</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Chief Financial Officer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April 12, 2024</w:t>
            </w:r>
          </w:p>
        </w:tc>
      </w:tr>
      <w:tr>
        <w:trPr/>
        <w:tc>
          <w:tcPr>
            <w:tcW w:w="2045" w:type="dxa"/>
            <w:tcBorders/>
            <w:tcMar>
              <w:bottom w:w="0" w:type="dxa"/>
            </w:tcMar>
            <w:vAlign w:val="center"/>
          </w:tcPr>
          <w:p>
            <w:pPr>
              <w:pStyle w:val="TableContents"/>
              <w:bidi w:val="0"/>
              <w:spacing w:before="0" w:after="283"/>
              <w:jc w:val="both"/>
              <w:rPr/>
            </w:pPr>
            <w:r>
              <w:rPr/>
              <w:t>April Pannell</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i/>
              </w:rPr>
            </w:pPr>
            <w:r>
              <w:rPr>
                <w:i/>
              </w:rPr>
              <w:t>(principal financial and accounting officer)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12"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Senior Vice President of Hardware Engineering</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April 12, 2024</w:t>
            </w:r>
          </w:p>
        </w:tc>
      </w:tr>
      <w:tr>
        <w:trPr/>
        <w:tc>
          <w:tcPr>
            <w:tcW w:w="2045" w:type="dxa"/>
            <w:tcBorders/>
            <w:tcMar>
              <w:bottom w:w="0" w:type="dxa"/>
            </w:tcMar>
            <w:vAlign w:val="center"/>
          </w:tcPr>
          <w:p>
            <w:pPr>
              <w:pStyle w:val="TableContents"/>
              <w:bidi w:val="0"/>
              <w:spacing w:before="0" w:after="283"/>
              <w:jc w:val="both"/>
              <w:rPr/>
            </w:pPr>
            <w:r>
              <w:rPr/>
              <w:t>Euan Abraham</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12"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April 12, 2024</w:t>
            </w:r>
          </w:p>
        </w:tc>
      </w:tr>
      <w:tr>
        <w:trPr/>
        <w:tc>
          <w:tcPr>
            <w:tcW w:w="2045" w:type="dxa"/>
            <w:tcBorders/>
            <w:tcMar>
              <w:bottom w:w="0" w:type="dxa"/>
            </w:tcMar>
            <w:vAlign w:val="center"/>
          </w:tcPr>
          <w:p>
            <w:pPr>
              <w:pStyle w:val="TableContents"/>
              <w:bidi w:val="0"/>
              <w:spacing w:before="0" w:after="283"/>
              <w:jc w:val="both"/>
              <w:rPr/>
            </w:pPr>
            <w:r>
              <w:rPr/>
              <w:t>James Buckly Jordan</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12"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April 12, 2024</w:t>
            </w:r>
          </w:p>
        </w:tc>
      </w:tr>
      <w:tr>
        <w:trPr/>
        <w:tc>
          <w:tcPr>
            <w:tcW w:w="2045" w:type="dxa"/>
            <w:tcBorders/>
            <w:tcMar>
              <w:bottom w:w="0" w:type="dxa"/>
            </w:tcMar>
            <w:vAlign w:val="center"/>
          </w:tcPr>
          <w:p>
            <w:pPr>
              <w:pStyle w:val="TableContents"/>
              <w:bidi w:val="0"/>
              <w:spacing w:before="0" w:after="283"/>
              <w:jc w:val="both"/>
              <w:rPr/>
            </w:pPr>
            <w:r>
              <w:rPr/>
              <w:t>Sarfraz Maredia</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12"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April 12, 2024</w:t>
            </w:r>
          </w:p>
        </w:tc>
      </w:tr>
      <w:tr>
        <w:trPr/>
        <w:tc>
          <w:tcPr>
            <w:tcW w:w="2045" w:type="dxa"/>
            <w:tcBorders/>
            <w:tcMar>
              <w:bottom w:w="0" w:type="dxa"/>
            </w:tcMar>
            <w:vAlign w:val="center"/>
          </w:tcPr>
          <w:p>
            <w:pPr>
              <w:pStyle w:val="TableContents"/>
              <w:bidi w:val="0"/>
              <w:spacing w:before="0" w:after="283"/>
              <w:jc w:val="both"/>
              <w:rPr/>
            </w:pPr>
            <w:r>
              <w:rPr/>
              <w:t>Ali Pourdad</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12" w:space="0" w:color="000000"/>
            </w:tcBorders>
            <w:vAlign w:val="center"/>
          </w:tcPr>
          <w:p>
            <w:pPr>
              <w:pStyle w:val="TableContents"/>
              <w:bidi w:val="0"/>
              <w:spacing w:before="0" w:after="283"/>
              <w:jc w:val="both"/>
              <w:rPr/>
            </w:pPr>
            <w:r>
              <w:rPr/>
              <w:t>*</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center"/>
              <w:rPr/>
            </w:pPr>
            <w:r>
              <w:rPr/>
              <w:t>April 12, 2024</w:t>
            </w:r>
          </w:p>
        </w:tc>
      </w:tr>
      <w:tr>
        <w:trPr/>
        <w:tc>
          <w:tcPr>
            <w:tcW w:w="2045" w:type="dxa"/>
            <w:tcBorders/>
            <w:tcMar>
              <w:bottom w:w="0" w:type="dxa"/>
            </w:tcMar>
            <w:vAlign w:val="center"/>
          </w:tcPr>
          <w:p>
            <w:pPr>
              <w:pStyle w:val="TableContents"/>
              <w:bidi w:val="0"/>
              <w:spacing w:before="0" w:after="283"/>
              <w:jc w:val="both"/>
              <w:rPr/>
            </w:pPr>
            <w:r>
              <w:rPr/>
              <w:t>Olivier Vincent</w:t>
            </w:r>
          </w:p>
        </w:tc>
        <w:tc>
          <w:tcPr>
            <w:tcW w:w="60" w:type="dxa"/>
            <w:tcBorders/>
            <w:tcMar>
              <w:bottom w:w="0" w:type="dxa"/>
            </w:tcMar>
            <w:vAlign w:val="center"/>
          </w:tcPr>
          <w:p>
            <w:pPr>
              <w:pStyle w:val="TableContents"/>
              <w:bidi w:val="0"/>
              <w:spacing w:before="0" w:after="283"/>
              <w:jc w:val="both"/>
              <w:rPr/>
            </w:pPr>
            <w:r>
              <w:rPr/>
              <w:t> </w:t>
            </w:r>
          </w:p>
        </w:tc>
        <w:tc>
          <w:tcPr>
            <w:tcW w:w="6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14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440"/>
        <w:gridCol w:w="1325"/>
        <w:gridCol w:w="75"/>
      </w:tblGrid>
      <w:tr>
        <w:trPr/>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Ali Kashani</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Ali Kashani</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II-9</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38" w:name="ea020358801ex1-1_serverob.htm"/>
      <w:bookmarkStart w:id="39" w:name="ksea020358801ex11_serverob"/>
      <w:bookmarkEnd w:id="38"/>
      <w:bookmarkEnd w:id="39"/>
      <w:r>
        <w:rPr>
          <w:b/>
        </w:rPr>
        <w:t>Exhibit 1.1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 of the several Underwriters named in Schedule I hereto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7th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agrees, subject to the terms and conditions in this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to issue and sell to the several underwriters listed in Schedule I hereto (collectively,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an aggregate of [__________] shares of common stock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par value $0.0001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At the option of the Underwriters, the Company agrees, subject to the terms and conditions herein, to issue and sell up to an aggregate of [___________] additional shares of Common Stock (the “</w:t>
      </w:r>
      <w:r>
        <w:rPr>
          <w:rFonts w:ascii="Times New Roman;Times;Serif" w:hAnsi="Times New Roman;Times;Serif"/>
          <w:b/>
          <w:i w:val="false"/>
          <w:caps w:val="false"/>
          <w:smallCaps w:val="false"/>
          <w:sz w:val="20"/>
        </w:rPr>
        <w:t>Option Shares</w:t>
      </w:r>
      <w:r>
        <w:rPr>
          <w:rFonts w:ascii="Times New Roman;Times;Serif" w:hAnsi="Times New Roman;Times;Serif"/>
          <w:b w:val="false"/>
          <w:i w:val="false"/>
          <w:caps w:val="false"/>
          <w:smallCaps w:val="false"/>
          <w:sz w:val="20"/>
        </w:rPr>
        <w:t>”). The Firm Shares and the Option Shares are herein referred to collectively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The respective number of Shares to be purchased by each Underwriter is set forth opposite its name in Schedule I hereto. Aegis Capital Corp. has agreed to act as the representative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of the several Underwriters in connection with the offering and sale of the Shares. To the extent there are no additional Underwriters listed on Schedule I hereto, the term Underwriters shall mean either the singular or plural as the context requires.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means ___:___ p.m. Eastern Time on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on which the Nasdaq is open for trading and on which banks in New York are open for business and not permitted by law or executive order to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Emerging Growth Company</w:t>
      </w:r>
      <w:r>
        <w:rPr>
          <w:rFonts w:ascii="Times New Roman;Times;Serif" w:hAnsi="Times New Roman;Times;Serif"/>
          <w:b w:val="false"/>
          <w:i w:val="false"/>
          <w:caps w:val="false"/>
          <w:smallCaps w:val="false"/>
          <w:sz w:val="20"/>
        </w:rPr>
        <w:t>” means an “emerging growth company” (as defined in Section 2(a)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Prospectus</w:t>
      </w:r>
      <w:r>
        <w:rPr>
          <w:rFonts w:ascii="Times New Roman;Times;Serif" w:hAnsi="Times New Roman;Times;Serif"/>
          <w:b w:val="false"/>
          <w:i w:val="false"/>
          <w:caps w:val="false"/>
          <w:smallCaps w:val="false"/>
          <w:sz w:val="20"/>
        </w:rPr>
        <w:t>” means the prospectus in the form first filed with the Commission pursuant to and within the time limits described in Rule 424(b)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means the Investment Company Act of 1940,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means an agreement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means any preliminary prospectus included in the Registration Statement prior to the time at which the Commission declared the Registration Statement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Pricing Disclosure Package</w:t>
      </w:r>
      <w:r>
        <w:rPr>
          <w:rFonts w:ascii="Times New Roman;Times;Serif" w:hAnsi="Times New Roman;Times;Serif"/>
          <w:b w:val="false"/>
          <w:i w:val="false"/>
          <w:caps w:val="false"/>
          <w:smallCaps w:val="false"/>
          <w:sz w:val="20"/>
        </w:rPr>
        <w:t>” means the Pricing Prospectus collectively with the documents and pricing information set forth in Schedule II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Pricing Prospectus</w:t>
      </w:r>
      <w:r>
        <w:rPr>
          <w:rFonts w:ascii="Times New Roman;Times;Serif" w:hAnsi="Times New Roman;Times;Serif"/>
          <w:b w:val="false"/>
          <w:i w:val="false"/>
          <w:caps w:val="false"/>
          <w:smallCaps w:val="false"/>
          <w:sz w:val="20"/>
        </w:rPr>
        <w:t>” means the Preliminary Prospectus included in the Registration Statement at the time at which the Commission declared the Registration Statement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 Delivery Period</w:t>
      </w:r>
      <w:r>
        <w:rPr>
          <w:rFonts w:ascii="Times New Roman;Times;Serif" w:hAnsi="Times New Roman;Times;Serif"/>
          <w:b w:val="false"/>
          <w:i w:val="false"/>
          <w:caps w:val="false"/>
          <w:smallCaps w:val="false"/>
          <w:sz w:val="20"/>
        </w:rPr>
        <w:t>”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(a) the registration statement on Form S-1 (File No. 333-277809), including a prospectus, registering the offer and sale of the Shares under the Securities Act as amended at the time the Commission declared it effective, including each of the exhibits, financial statements and schedules thereto, (b) any Rule 430A Information, and (c) any Rule 462(b)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 Warrant</w:t>
      </w:r>
      <w:r>
        <w:rPr>
          <w:rFonts w:ascii="Times New Roman;Times;Serif" w:hAnsi="Times New Roman;Times;Serif"/>
          <w:b w:val="false"/>
          <w:i w:val="false"/>
          <w:caps w:val="false"/>
          <w:smallCaps w:val="false"/>
          <w:sz w:val="20"/>
        </w:rPr>
        <w:t>” means the Representative’s warrant to purchase shares of Common Stock in the form of Exhibit B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 Warrant Shares</w:t>
      </w:r>
      <w:r>
        <w:rPr>
          <w:rFonts w:ascii="Times New Roman;Times;Serif" w:hAnsi="Times New Roman;Times;Serif"/>
          <w:b w:val="false"/>
          <w:i w:val="false"/>
          <w:caps w:val="false"/>
          <w:smallCaps w:val="false"/>
          <w:sz w:val="20"/>
        </w:rPr>
        <w:t>” means shares of Common Stock issued upon exercise of the Representative’s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430A Information</w:t>
      </w:r>
      <w:r>
        <w:rPr>
          <w:rFonts w:ascii="Times New Roman;Times;Serif" w:hAnsi="Times New Roman;Times;Serif"/>
          <w:b w:val="false"/>
          <w:i w:val="false"/>
          <w:caps w:val="false"/>
          <w:smallCaps w:val="false"/>
          <w:sz w:val="20"/>
        </w:rPr>
        <w:t>” means the information deemed, pursuant to Rule 430A under the Securities Act, to be part of the Registration Statement at the time the Commission declared the Registration Statement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means an abbreviated registration statement to register the offer and sale of additional shares of Common Stock pursuant to Rule 462(b)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means any oral or Written Communication with potential investors undertaken in reliance on either Section 5(d) or Rule 163B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Written Communication</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 Representations and Warranties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represents and warrants to, and agrees with, the Underwriter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23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prepared and filed the Registration Statement with the Commission under the Securities Act. The Commission has declared the Registration Statement effective under the Securities Act and the Company has not as of the date of this Agreement filed a post-effective amendment to the Registration Statement. The Commission has not issued any order suspending the effectiveness of the Registration Statement or any order preventing or suspending the use of the Registration Statement, the Final Prospectus, or any Preliminary Prospectus , and no proceedings for such purpose or pursuant to Section 8A of the Securities Act have been initiated, are pending before or, to the Company’s knowledge, threatened by the Commission.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3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Registration Statement, at the time it became effective, did not contain, and any post-effective amendment thereto, as of the effective date of such amendment, will not contain, any untrue statement of a material fact or omit to state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the Registration Statement (including any post-effective amendment thereto), the Pricing Disclosure Package, the Final Prospectus (including any amendments or supplements thereto), or any Preliminary Prospectus, it being understood and agreed that the only such information furnished by any Underwriter consists of the information described in Section 8(b) hereof (collectively, the “</w:t>
      </w:r>
      <w:r>
        <w:rPr>
          <w:rFonts w:ascii="Times New Roman;Times;Serif" w:hAnsi="Times New Roman;Times;Serif"/>
          <w:b/>
          <w:i w:val="false"/>
          <w:caps w:val="false"/>
          <w:smallCaps w:val="false"/>
          <w:sz w:val="20"/>
        </w:rPr>
        <w:t>Underwriter Information</w:t>
      </w:r>
      <w:r>
        <w:rPr>
          <w:rFonts w:ascii="Times New Roman;Times;Serif" w:hAnsi="Times New Roman;Times;Serif"/>
          <w:b w:val="false"/>
          <w:i w:val="false"/>
          <w:caps w:val="false"/>
          <w:smallCaps w:val="false"/>
          <w:sz w:val="20"/>
        </w:rPr>
        <w: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3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Registration Statement and any post-effective amendment thereto, at the time it became effective and at the date hereof, complied and will comply in all material respects with the Securities Act.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340" w:right="0" w:firstLine="720"/>
        <w:jc w:val="center"/>
        <w:rPr>
          <w:bdr w:val="single" w:sz="12" w:space="1" w:color="000000"/>
        </w:rPr>
      </w:pPr>
      <w:r>
        <w:rPr>
          <w:bdr w:val="single" w:sz="12" w:space="1" w:color="000000"/>
        </w:rPr>
        <w:t>3</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Pricing Disclosure Package</w:t>
      </w:r>
      <w:r>
        <w:rPr>
          <w:rFonts w:ascii="Times New Roman;Times;Serif" w:hAnsi="Times New Roman;Times;Serif"/>
          <w:b w:val="false"/>
          <w:i w:val="false"/>
          <w:caps w:val="false"/>
          <w:smallCaps w:val="false"/>
          <w:sz w:val="20"/>
        </w:rPr>
        <w:t xml:space="preserve">. The Pricing Disclosure Package, as of the Applicable Time, did not, and as of the Closing Date (as defined below) and as of any Additional Closing Date (as defined below),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the Underwriter Information.</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Final Prospectus</w:t>
      </w:r>
      <w:r>
        <w:rPr>
          <w:rFonts w:ascii="Times New Roman;Times;Serif" w:hAnsi="Times New Roman;Times;Serif"/>
          <w:b w:val="false"/>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23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of the Final Prospectus and any amendments or supplements thereto, as of its date, as of the time it is filed with the Commission pursuant to Rule 424(b) under the Securities Act, as of the Closing Date and as of any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the Underwriter Information.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3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of the Final Prospectus and any amendments or supplements thereto, at the time it is filed with the Commission pursuant to Rule 424(b) under the Securities Act, as of the Closing Date and as of any Additional Closing Date, as the case may be, will comply in all material respects with the Securities Act.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Preliminary Prospectuses</w:t>
      </w:r>
      <w:r>
        <w:rPr>
          <w:rFonts w:ascii="Times New Roman;Times;Serif" w:hAnsi="Times New Roman;Times;Serif"/>
          <w:b w:val="false"/>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23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Preliminary Prospectus, as of the time it was filed with the Commission pursuant to Rule 424(a) under the Securities Act, if any, did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the Underwriter Information.</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23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Preliminary Prospectus, at the time it was filed with the Commission pursuant to Rule 424(a) under the Securities Act, if any, complied in all material respects with the Securities Act.</w:t>
      </w:r>
    </w:p>
    <w:p>
      <w:pPr>
        <w:pStyle w:val="TextBody"/>
        <w:bidi w:val="0"/>
        <w:spacing w:before="0" w:after="0"/>
        <w:ind w:left="234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not engaged in any Testing-the-Waters Communications.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4</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Other Disclosure Materials</w:t>
      </w:r>
      <w:r>
        <w:rPr>
          <w:rFonts w:ascii="Times New Roman;Times;Serif" w:hAnsi="Times New Roman;Times;Serif"/>
          <w:b w:val="false"/>
          <w:i w:val="false"/>
          <w:caps w:val="false"/>
          <w:smallCaps w:val="false"/>
          <w:sz w:val="20"/>
        </w:rPr>
        <w:t>. Other than the Registration Statement, the Pricing Disclosure Package, the Final Prospectus, and each Preliminary Prospectus, the Company (including its agents and representatives, other than the Underwriters, as to which no representation or warranty is given) has not, directly or indirectly, distributed, prepared, used, authorized, approved or referred to, and will not distribute, prepare, use, authorize, approve or refer to, any offering material in connection with the offering and sale of the Shares.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Emerging Growth Company</w:t>
      </w:r>
      <w:r>
        <w:rPr>
          <w:rFonts w:ascii="Times New Roman;Times;Serif" w:hAnsi="Times New Roman;Times;Serif"/>
          <w:b w:val="false"/>
          <w:i w:val="false"/>
          <w:caps w:val="false"/>
          <w:smallCaps w:val="false"/>
          <w:sz w:val="20"/>
        </w:rPr>
        <w:t>. From the time of the initial confidential submission of the registration statement relating to the Shares to the Commission through the date hereof, the Company has been and is an Emerging Growth Company.</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Due Authorization</w:t>
      </w:r>
      <w:r>
        <w:rPr>
          <w:rFonts w:ascii="Times New Roman;Times;Serif" w:hAnsi="Times New Roman;Times;Serif"/>
          <w:b w:val="false"/>
          <w:i w:val="false"/>
          <w:caps w:val="false"/>
          <w:smallCaps w:val="false"/>
          <w:sz w:val="20"/>
        </w:rPr>
        <w:t>. The Company has full right, power and authority to execute and deliver this Agreement and to perform its obligations hereunder; and all action required to be taken for the due and proper authorization, execution and delivery by it of this Agreement and the Representative’s Warrants, and the consummation by it of the transactions contemplated hereby and thereby has been duly and validly taken.</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Underwriting Agreement and Representative’s Warrants</w:t>
      </w:r>
      <w:r>
        <w:rPr>
          <w:rFonts w:ascii="Times New Roman;Times;Serif" w:hAnsi="Times New Roman;Times;Serif"/>
          <w:b w:val="false"/>
          <w:i w:val="false"/>
          <w:caps w:val="false"/>
          <w:smallCaps w:val="false"/>
          <w:sz w:val="20"/>
        </w:rPr>
        <w:t>. This Agreement and the Representative’s Warrants have been duly authorized, executed and delivered by the Company and each, assuming the due authorization, execution and delivery by the other parties hereto, constitutes a valid and legally binding agreement of the Company, enforceable in accordance with its terms, except as (i) the enforcement hereof may be limited by bankruptcy, insolvency, fraudulent transfer, reorganization, moratorium or other similar laws relating to or affecting the rights and remedies of creditors or by general equitable principles (whether considered in a proceeding at law or in equity) relating to enforceability and (ii) rights to indemnification and contribution hereunder may be limited by applicable law and public policy considerations.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Except as otherwise disclosed in the Registration Statement, the Pricing Disclosure Package and the Final Prospectus (in each case exclusive of any amendment or supplement thereto), since the date of the most recent financial statements included in the Registration Statement, the Pricing Disclosure Package and the Final Prospectus: (i) there has been no material adverse change, or any development that would reasonably be expected to result in a material adverse change, in or affecting the condition (financial or otherwise), earnings, business, properties, management, financial position, stockholders’ equity, or results of operations, whether or not arising from transactions in the ordinary course of business, of the Company and its subsidiaries, considered as one entity; (ii) there has been no change in the capital stock of the Company (other than (A) the issuance of shares of Common Stock upon the exercise or settlement (including any “net” or “cashless” exercises or settlements) of stock options, restricted share units or warrants described as outstanding, (B) the grant of options and awards under existing equity incentive plans, or (C) the repurchase of shares of Common Stock by the Company, which were issued pursuant to the early exercise of stock options by option holders and are subject to repurchase by the Company, in each case, as described in the Registration Statement, the Pricing Disclosure Package and the Final Prospectus), or material change in the short-term debt or long-term debt of the Company or any of its subsidiaries, considered as one entity; and (iii) the Company and its subsidiaries, considered as one entity, have not incurred any material liability or obligation, indirect, direct or contingent (whether or not in the ordinary course of business); nor entered into any transaction or agreement (whether or not in the ordinary course of business) that is material to the Company and its subsidiaries, considered as one entity; and (iv) there has been no dividend or distribution of any kind declared, set aside for payment, paid or made by the Company or, except for dividends paid to the Company or other subsidiaries of the Company, any of its subsidiaries on any class of capital stock or repurchase or redemption by the Company or any of its subsidiaries of any class of capital stock.</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5</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Organization and Good Standing of the Company and its Subsidiaries</w:t>
      </w:r>
      <w:r>
        <w:rPr>
          <w:rFonts w:ascii="Times New Roman;Times;Serif" w:hAnsi="Times New Roman;Times;Serif"/>
          <w:b w:val="false"/>
          <w:i w:val="false"/>
          <w:caps w:val="false"/>
          <w:smallCaps w:val="false"/>
          <w:sz w:val="20"/>
        </w:rPr>
        <w:t>.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(corporate and other) necessary to own, lease or hold their respective properties and to conduct the businesses in which they are engaged as described in the Registration Statement, the Pricing Disclosure Package and the Final Prospectus, except where the failure to be in good standing, to be so qualified or to have such power or authority would not, individually or in the aggregate, reasonably be expected to have a material adverse effect on the condition (financial or otherwise), earnings, business, properties, management, financial position, stockholders’ equity, or results of operations of the Company and its subsidiaries, considered as one entity, or adversely affect the performance by the Company of its obligations under this Agreement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is as set forth in the Registration Statement, the Pricing Disclosure Package and the Final Prospectus under the heading “Capitalization”. All of the outstanding shares of capital stock of the Company have been duly authorized and validly issued and are fully paid and non-assessable. The Firm Shares and the Option Shares have been duly authorized and, when issued and paid for as contemplated herein, will be validly issued, fully paid and non-assessable. The Representative’s Warrant Shares has been duly authorized and, when issued and paid for upon exercise of a Representative’s Warrant and payment of the exercise price therefor, as contemplated herein and therein, will be validly issued, fully paid and non-assessable. None of the outstanding shares of capital stock of the Company were issued in violation of any preemptive rights, rights of first refusal or other similar rights to subscribe for or purchase securities of the Company. Except as disclosed in the Registration Statement, the Pricing Disclosure Package and the Final Prospectus, there are no authorized or outstanding options, warrants, preemptive rights, rights of first refusal or other rights to acquire, or instruments convertible into or exchangeable or exercisable for, any shares of capital stock of, or other equity interest in, the Company or any of its subsidiaries. All of the outstanding shares of capital stock of, or other equity interest in, each of the Company’s subsidiaries (i) have been duly authorized and validly issued, (ii) are fully paid and non-assessable (except as such non-assessability may be affected by Sections 18-303, 18-607 and 18-803 of the Delaware Limited Liability Company Act) and (iii) are owned by the Company, directly or through the Company’s subsidiaries, free and clear of any security interest, mortgage, pledge, lien, encumbrance, charge, claim or restriction on voting or transfer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except (x) as otherwise disclosed in the Registration Statement, the Pricing Disclosure Package and the Final Prospectus or (y) as would not, individually or in the aggregate, reasonably be expected to have a Material Adverse Effect.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6</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Stock Plans</w:t>
      </w:r>
      <w:r>
        <w:rPr>
          <w:rFonts w:ascii="Times New Roman;Times;Serif" w:hAnsi="Times New Roman;Times;Serif"/>
          <w:b w:val="false"/>
          <w:i w:val="false"/>
          <w:caps w:val="false"/>
          <w:smallCaps w:val="false"/>
          <w:sz w:val="20"/>
        </w:rPr>
        <w:t>. With respect to the stock options (the “</w:t>
      </w:r>
      <w:r>
        <w:rPr>
          <w:rFonts w:ascii="Times New Roman;Times;Serif" w:hAnsi="Times New Roman;Times;Serif"/>
          <w:b/>
          <w:i w:val="false"/>
          <w:caps w:val="false"/>
          <w:smallCaps w:val="false"/>
          <w:sz w:val="20"/>
        </w:rPr>
        <w:t>Stock Options</w:t>
      </w:r>
      <w:r>
        <w:rPr>
          <w:rFonts w:ascii="Times New Roman;Times;Serif" w:hAnsi="Times New Roman;Times;Serif"/>
          <w:b w:val="false"/>
          <w:i w:val="false"/>
          <w:caps w:val="false"/>
          <w:smallCaps w:val="false"/>
          <w:sz w:val="20"/>
        </w:rPr>
        <w:t>”) granted pursuant to the stock-based compensation plans of the Company and its subsidiaries (the “</w:t>
      </w:r>
      <w:r>
        <w:rPr>
          <w:rFonts w:ascii="Times New Roman;Times;Serif" w:hAnsi="Times New Roman;Times;Serif"/>
          <w:b/>
          <w:i w:val="false"/>
          <w:caps w:val="false"/>
          <w:smallCaps w:val="false"/>
          <w:sz w:val="20"/>
        </w:rPr>
        <w:t>Company Stock Plans</w:t>
      </w:r>
      <w:r>
        <w:rPr>
          <w:rFonts w:ascii="Times New Roman;Times;Serif" w:hAnsi="Times New Roman;Times;Serif"/>
          <w:b w:val="false"/>
          <w:i w:val="false"/>
          <w:caps w:val="false"/>
          <w:smallCaps w:val="false"/>
          <w:sz w:val="20"/>
        </w:rPr>
        <w:t>”) (i) to the Company’s knowledge, each Stock Option intended to qualify as an “incentive stock option” under Section 422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so qualifies, (ii) each grant of a Stock Option was duly authorized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to the Company’s knowledge, was duly executed and delivered by each party thereto, (iii) each such grant was made in all material respects in accordance with the terms of the Company Stock Plans and (iv) each such grant was properly accounted for in accordance with generally accepted accounting principles as applied in the United States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in the financial statements (including the related notes) of the Company.</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Neither the Company nor any of its subsidiaries is: (i) in violation of its charter, by-laws or similar organizational documents; (ii) in default, and no event has occurred that, with notice or lapse of time or both, would constitute such a default, in the due performance or observance of any term, covenant, condition or other obligation contained in any indenture, mortgage, deed of trust, loan agreement, contract, undertaking or other agreement or instrument to which the Company or any of its subsidiaries is a party or by which the Company or any of its subsidiaries is bound or to which any property, right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or any of their respective properties or assets, except, in the case of clauses (ii) and (iii) above, for any such default or violation that would not, individually or in the aggregate, reasonably be expected to have a Material Adverse Effect.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7</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None of (i) the execution, delivery and performance of this Agreement or the Representative’s Warrants by the Company, (ii) the issuance, sale and delivery of the Firm Shares, the Option Shares, or the Representative’s Warrant Shares (iii) the application of the proceeds of the offering as described under “Use of Proceeds” in the Registration Statement, the Pricing Disclosure Package and the Final Prospectus, or (iv) the consummation of the transactions contemplated herein will: (x) result in any violation of the terms or provisions of the charter, by-laws or similar organizational documents of the Company or any of its subsidiaries; (y) conflict with, result in a breach or violation of, or require the approval of stockholders, members or partners or any approval or consent of any persons under, any of the terms or provisions of,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note agreement, contract, undertaking or other agreement, obligation, condition, covenant or instrument to which the Company or any of its subsidiaries is a party or by which the Company or any of its subsidiaries is bound or to which any property, right or asset of the Company or any of its subsidiaries is subject; or (z) result in the violation of any law, statute, judgment, order, rule, decree or regulation applicable to the Company or any of its subsidiaries of any court, arbitrator, governmental or regulatory authority, agency or body having jurisdiction over the Company or any of its subsidiaries or any of their respective properties or assets, except, in the case of clauses (y) and (z) above, for any such conflict, breach, violation, default, lien, charge or encumbrance that would not, individually or in the aggregate, reasonably be expected to have a Material Adverse Effect.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filing, registration, license or qualification of or with any court, arbitrator, or governmental or regulatory authority, agency, or body is required for (i) the execution, delivery and performance by the Company of this Agreement or the Representative’s Warrants; (ii) the issuance, sale and delivery of the Firm Shares, the Option Shares or the Representative’s Warrant Shares; or (iii) the consummation of the transactions contemplated herein, except for such consents, approvals, authorizations, orders, filings, registrations or qualifications as (x) have already been obtained or made and are still in full force and effect, (y) may be required by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and (z) may be required under applicable state securities laws in connection with the purchase, distribution and resale of the Firm Shares and the Option Shares by the Underwriters</w:t>
      </w:r>
      <w:r>
        <w:rPr>
          <w:rFonts w:ascii="Times New Roman;Times;Serif" w:hAnsi="Times New Roman;Times;Serif"/>
          <w:b/>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dbbMcKennon, which expressed its opinion with respect to the financial statements (which term as used in this Agreement includes the related notes thereto) included in the Registration Statement, the Pricing Disclosure Package and the Final Prospectus, is an independent registered public accounting firm with respect to the Company and its subsidiaries within the meaning of the rules and regulations of the Commission and the Public Company Accounting Oversight Board and as required by the Securities Act.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8</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Financial Statements and Other Financial Data</w:t>
      </w:r>
      <w:r>
        <w:rPr>
          <w:rFonts w:ascii="Times New Roman;Times;Serif" w:hAnsi="Times New Roman;Times;Serif"/>
          <w:b w:val="false"/>
          <w:i w:val="false"/>
          <w:caps w:val="false"/>
          <w:smallCaps w:val="false"/>
          <w:sz w:val="20"/>
        </w:rPr>
        <w:t>. The financial statements (including the related notes thereto) included in the Registration Statement, the Pricing Disclosure Package and the Final Prospectus comply in all material respects with the applicable requirements of the Securities Act and present fairly in all material respects the consolidated financial position of the entities to which they relate as of and at the dates indicated and the results of their operations and cash flows for the periods specified. Such financial statements and notes have been prepared in conformity with GAAP applied on a consistent basis throughout the periods involved, except as may be expressly stated in the notes thereto. The financial data set forth in the Registration Statement, the Pricing Disclosure Package and the Final Prospectus under the captions “Summary Financial Data” and “Capitalization” present fairly in all material respects the information set forth therein on a basis consistent with that of the audited financial statements included in the Registration Statement, the Pricing Disclosure Package and the Final Prospectus.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The statistical and market-related data included in the Registration Statement, the Pricing Disclosure Package and the Final Prospectus are based on or derived from sources that the Company believes to be accurate and reliable in all material respects.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included in the Registration Statement, the Pricing Disclosure Package or the Final Prospectus has been made or reaffirmed without a reasonable basis or has been disclosed other than in good faith.</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 There are no legal, governmental or regulatory investigations, actions, demands, claims, suits, arbitrations, inquiries or proceedings (collectively, “</w:t>
      </w:r>
      <w:r>
        <w:rPr>
          <w:rFonts w:ascii="Times New Roman;Times;Serif" w:hAnsi="Times New Roman;Times;Serif"/>
          <w:b/>
          <w:i w:val="false"/>
          <w:caps w:val="false"/>
          <w:smallCaps w:val="false"/>
          <w:sz w:val="20"/>
        </w:rPr>
        <w:t>Actions</w:t>
      </w:r>
      <w:r>
        <w:rPr>
          <w:rFonts w:ascii="Times New Roman;Times;Serif" w:hAnsi="Times New Roman;Times;Serif"/>
          <w:b w:val="false"/>
          <w:i w:val="false"/>
          <w:caps w:val="false"/>
          <w:smallCaps w:val="false"/>
          <w:sz w:val="20"/>
        </w:rPr>
        <w:t>”) pending to which the Company or any of its subsidiaries is or may be a party or to which any property, right or asset of the Company or any of its subsidiaries is or may be the subject that, individually or in the aggregate, if determined adversely to the Company or any of its subsidiaries, would reasonably be expected to have a Material Adverse Effect; and (ii) to the knowledge of the Company, no such Actions are threatened or contemplated by any governmental or regulatory authority or by others.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the employees of the Company or any of its subsidiaries exists or, to the knowledge of the Company, is threatened or contemplated that would, individually or in the aggregate, reasonably be expected to have a Material Adverse Effect.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9</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(i) Except as would not, individually or in the aggregate, reasonably be expected to have a Material Adverse Effect, to the Company’s knowledge, the Company and its subsidiaries own or have the right to use all patents, patent applications, trademarks, service marks, trade names, and other source indicators and registrations and applications for registration thereof, domain name registrations, copyrights and registrations and applications for registration thereof, technology and know-how, trade secrets, and all other intellectual property and related proprietary rights (collectively,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necessary to conduct their respective businesses; (ii) neither the Company nor any of its subsidiaries has received any notice of infringement, misappropriation or other conflict with (and neither the Company nor any of its subsidiaries is otherwise aware of any infringement, misappropriation or other conflict with) the Intellectual Property Rights of any other person, except for such infringement, misappropriation or other conflict as would not have a Material Adverse Effect; and (iii) to the knowledge of the Company, the Intellectual Property Rights of the Company and its subsidiaries are not being infringed, misappropriated or otherwise violated by any person.</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(i) To the Company’s knowledge, (i) the Company and its subsidiaries possess such valid and current certificates, authorizations, approvals, licenses and permits (collectively, “</w:t>
      </w:r>
      <w:r>
        <w:rPr>
          <w:rFonts w:ascii="Times New Roman;Times;Serif" w:hAnsi="Times New Roman;Times;Serif"/>
          <w:b/>
          <w:i w:val="false"/>
          <w:caps w:val="false"/>
          <w:smallCaps w:val="false"/>
          <w:sz w:val="20"/>
        </w:rPr>
        <w:t>Authorizations</w:t>
      </w:r>
      <w:r>
        <w:rPr>
          <w:rFonts w:ascii="Times New Roman;Times;Serif" w:hAnsi="Times New Roman;Times;Serif"/>
          <w:b w:val="false"/>
          <w:i w:val="false"/>
          <w:caps w:val="false"/>
          <w:smallCaps w:val="false"/>
          <w:sz w:val="20"/>
        </w:rPr>
        <w:t>”) issued by, and have made all declarations, amendments, supplements and filings with, the appropriate state, federal or foreign regulatory agencies or bodies necessary to own, lease and operate their respective properties and to conduct their respective businesses as set forth in the Registration Statement, the Pricing Disclosure Package and the Final Prospectus; (ii) all such Authorizations are valid and in full force and effect and the Company and its subsidiaries are in compliance with the terms and conditions of all such Authorizations; and (iii) neither the Company nor any of its subsidiaries has received notice of any revocation, termination or modification of, or non-compliance with, any such Authorization or has any reason to believe that any such Authorization will not be renewed in the ordinary course, except where, in the case of clauses (i), (ii) and (iii), the failure to possess, make or obtain such Authorizations (by possession, declaration or filing) would not, individually or in the aggregate, have a Material Adverse Effect.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Neither the Company nor any of its subsidiaries own any real property. The Company and its subsidiaries have good and marketable title to, or have valid and enforceable rights to lease or otherwise use, all items of personal property (other than with respect to Intellectual Property Rights, which is addressed exclusively in Section 1(y) hereof) that are material to the respective businesses of the Company and its subsidiaries, in each case, free and clear of all liens, encumbrances, claims, and defects and imperfections of title, except such liens, encumbrances, claims, defects and imperfections as (i) are disclosed in the Registration Statement, the Pricing Disclosure Package and the Final Prospectus, or (ii) do not materially affect the value of such property and do not materially interfere with the use made or proposed to be made of such property by the Company and its subsidiaries.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10</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as would not, individually or in the aggregate, reasonably be expected to have a Material Adverse Effect, the Company and each of its subsidiaries have filed all federal, state, local and foreign tax returns required to be filed through the date hereof or have timely requested extensions thereof and have paid all taxes required to be paid thereon except as currently being contested in good faith and for which reserves required by GAAP have been created in the financial statements of the Company). The charges, accruals and reserves in respect of any income and other tax liability in the financial statements of the Company referred to in Section 1(t) are adequate, in accordance with GAAP principles, to meet any assessments for any taxes of the Company accruing through the end of the last period specified in such financial statements.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nor any of its subsidiaries is or, after giving effect to the offer and sale of the Firm Shares and the Option Shares and the application of the proceeds therefrom as described under “Use of Proceeds” in the Registration Statement, the Pricing Disclosure Package and the Final Prospectus, will be required to register as an “investment company” (as defined in the Investment Company Act).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are insured by recognized, financially sound institutions in such amounts, with such deductibles and covering such losses and risks as is adequate for the conduct of their respective businesses and the value of their respective properties and as is prudent and customary for companies engaged in similar businesses in similar industries. All insurance policies and fidelity or surety bonds insuring the Company and its subsidiaries or their respective businesses, assets, employees, officers and directors are in full force and effect; the Company and its subsidiaries are in compliance with the terms of such policies in all material respects; neither the Company nor any of its subsidiaries has received notice from any insurer or agent of such insurer that capital improvements or other expenditures are required to be made in order to continue such insurance; and neither the Company nor any of its subsidiaries has been refused any insurance coverage sought or applied for. There are no claims by the Company or any of its subsidiaries under any such policy as to which any insurer is denying liability or defending under a reservation of rights clause;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No Stabilization or Manipulation</w:t>
      </w:r>
      <w:r>
        <w:rPr>
          <w:rFonts w:ascii="Times New Roman;Times;Serif" w:hAnsi="Times New Roman;Times;Serif"/>
          <w:b w:val="false"/>
          <w:i w:val="false"/>
          <w:caps w:val="false"/>
          <w:smallCaps w:val="false"/>
          <w:sz w:val="20"/>
        </w:rPr>
        <w:t>. None of the Company, its Affiliates or any person acting on its or any of their behalf (other than the Underwriters, as to which no representation or warranty is given) has taken, directly or indirectly, any action designed to or that has constituted or that could reasonably be expected to cause or result in the stabilization or manipulation of the price of any securities of the Company. The Company acknowledges that the Underwriter may engage in passive market making transactions in the Common Stock on the Exchange in accordance with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11</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Compliance with the Sarbanes-Oxley Act</w:t>
      </w:r>
      <w:r>
        <w:rPr>
          <w:rFonts w:ascii="Times New Roman;Times;Serif" w:hAnsi="Times New Roman;Times;Serif"/>
          <w:b w:val="false"/>
          <w:i w:val="false"/>
          <w:caps w:val="false"/>
          <w:smallCaps w:val="false"/>
          <w:sz w:val="20"/>
        </w:rPr>
        <w:t>. The Company and, to the knowledge of the Company, its officers and directors, in their capacities as such, are and have been in compliance with all applicable provisions of the Sarbanes-Oxley Act.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Accounting Controls</w:t>
      </w:r>
      <w:r>
        <w:rPr>
          <w:rFonts w:ascii="Times New Roman;Times;Serif" w:hAnsi="Times New Roman;Times;Serif"/>
          <w:b w:val="false"/>
          <w:i w:val="false"/>
          <w:caps w:val="false"/>
          <w:smallCaps w:val="false"/>
          <w:sz w:val="20"/>
        </w:rPr>
        <w:t>. Except as disclosed in the Registration Statement, the Pricing Disclosure Package and the Final Prospectus, the Company and its subsidiaries maintain systems of “internal control over financial reporting” (as defined in Rule 13a-15(f) of the Exchange Act) that comply with the requirements of the Exchange Act and have been designed by, or under the supervision of, their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Final Prospectus, the Company’s internal control over financial reporting is effective and the Company is not aware of any material weaknesses in its internal control over financial reporting (whether or not remediated). Since the date of the most recent balance sheet included in the Registration Statement, the Pricing Disclosure Package and the Final Prospectus, (x) the Company’s auditors have not been advised of (A) any new significant deficiencies or material weaknesses in the design or operation of the internal control over financial reporting of the Company and its subsidiaries which could adversely affect the Company’s ability to record, process, summarize, and report financial data; or (B) any fraud, whether or not material, that involves management or other employees who have a role in the internal control over financial reporting of the Company or its subsidiaries; and (y) there have been no significant changes in the internal control over financial reporting of the Company or its subsidiaries or in other factors that could significantly affect, such internal control over financial reporting, since the respective dates as of which information is given in the Registration Statement, the Pricing Disclosure Package and the Final Prospectus.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12</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Disclosure Controls and Procedures</w:t>
      </w:r>
      <w:r>
        <w:rPr>
          <w:rFonts w:ascii="Times New Roman;Times;Serif" w:hAnsi="Times New Roman;Times;Serif"/>
          <w:b w:val="false"/>
          <w:i w:val="false"/>
          <w:caps w:val="false"/>
          <w:smallCaps w:val="false"/>
          <w:sz w:val="20"/>
        </w:rPr>
        <w:t>. The Company and its subsidiaries have established and maintain disclosure controls and procedures (as such term is defined in Rule 13a-15(e) under the Exchange Act) that are designed to comply with the requirements of the Exchange Act; such disclosure controls and procedures are designed to ensure that information required to be disclosed by the Company and its subsidiaries in the reports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such disclosure controls and procedures are effective to perform the functions for which they were established.</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Firm Shares and the Option Shares nor the application of the proceeds thereof by the Company, in each case, as described in the Registration Statement, the Pricing Disclosure Package and the Final Prospectus, will violate Regulation T, U or X of the Board of Governors of the Federal Reserve System or any other regulation of such Board of Governors.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The Company and each of its subsidiaries (i) to the Company’s knowledge, are, and at all times prior hereto were, in compliance with all Environmental Laws (as defined below)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And (x) there are no proceedings that are pending, or known to be contemplated, against the Company or any of its subsidiaries under Environmental Laws, other than such proceedings regarding which it is reasonably believed that no monetary sanctions of $100,000 or more will be imposed; (y) none of the Company or any of its subsidiaries is aware of any issues regarding compliance with Environmental Laws, including any pending or proposed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any of its subsidiaries anticipates material capital expenditures relating to Environmental Laws.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the use, handling, storage, manufacturing, transportation, treatment, discharge, disposal or release of hazardous or toxic substances or wastes, pollutants or contaminants.</w:t>
      </w:r>
    </w:p>
    <w:p>
      <w:pPr>
        <w:pStyle w:val="TextBody"/>
        <w:bidi w:val="0"/>
        <w:spacing w:before="0" w:after="0"/>
        <w:ind w:left="1620" w:right="0" w:firstLine="540"/>
        <w:jc w:val="both"/>
        <w:rPr>
          <w:caps w:val="false"/>
          <w:smallCaps w:val="false"/>
        </w:rPr>
      </w:pPr>
      <w:r>
        <w:rPr>
          <w:caps w:val="false"/>
          <w:smallCaps w:val="false"/>
        </w:rPr>
        <w:t> </w:t>
      </w:r>
    </w:p>
    <w:p>
      <w:pPr>
        <w:pStyle w:val="TextBody"/>
        <w:bidi w:val="0"/>
        <w:spacing w:before="0" w:after="0"/>
        <w:ind w:left="1620" w:right="0" w:firstLine="540"/>
        <w:jc w:val="center"/>
        <w:rPr>
          <w:bdr w:val="single" w:sz="12" w:space="1" w:color="000000"/>
        </w:rPr>
      </w:pPr>
      <w:r>
        <w:rPr>
          <w:bdr w:val="single" w:sz="12" w:space="1" w:color="000000"/>
        </w:rPr>
        <w:t>13</w:t>
      </w:r>
    </w:p>
    <w:p>
      <w:pPr>
        <w:pStyle w:val="TextBody"/>
        <w:bidi w:val="0"/>
        <w:spacing w:before="0" w:after="0"/>
        <w:ind w:left="1620" w:right="0" w:firstLine="54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Except as would not, individually or in the aggregate, reasonably be expected to result in a Material Adverse Effect, each “employee benefit plan” (within the meaning of Section 3(3) of the Employee Retirement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for which the Company or any member of its “Controlled Group” (defined as any organization which is a member of a controlled group of corporations within the meaning of Section 414 of the Code) would have any liability (each, a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complies in form with the requirements of all applicable statutes, rules and regulations including ERISA and the Code, and has been maintained and administered in substantial compliance with its terms and with the requirements of all applicable statutes, rules and regulations including ERISA and the Code; (ii) with respect to each Plan subject to Title IV of ERISA or Section 302 of ERISA or Section 412 and 430 of the Code (A) no “reportable event” (within the meaning of Section 4043(c) of ERISA) has occurred or is reasonably expected to occur, (B) no failure to satisfy the minimum funding standard (within the meaning of Section 302 of ERISA or Section 412 and 430 of the Code), whether or not waived, has occurred or is reasonably expected to occur, (C) the fair market value of the assets under each Plan (excluding for these purposes accrued but unpaid contributions)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(iii) each Plan that is intended to be qualified under Section 401(a) of the Code is so qualified and nothing has occurred, whether by action or by failure to act, which would cause the loss of such qualification; and (iv) no prohibited transaction, within the meaning of Section 406 of ERISA or Section 4975 of the Code, has occurred with respect to any Plan excluding transactions to which a statutory or administrative prohibited transaction exemption applies.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Except as disclosed in the Registration Statement, the Pricing Disclosure Package and the Final Prospectus, to the Company’s knowledge, no relationship, direct or indirect, exists between or among the Company or any of its subsidiaries, on the one hand, and the directors, officers, stockholders, other Affiliates, customers or suppliers of the Company or any of its subsidiaries, on the other hand, that would be required by the Securities Act to be described in the Registration Statement, the Pricing Disclosure Package and the Final Prospectus.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14</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No Unlawful Contributions or Other Payments</w:t>
      </w:r>
      <w:r>
        <w:rPr>
          <w:rFonts w:ascii="Times New Roman;Times;Serif" w:hAnsi="Times New Roman;Times;Serif"/>
          <w:b w:val="false"/>
          <w:i w:val="false"/>
          <w:caps w:val="false"/>
          <w:smallCaps w:val="false"/>
          <w:sz w:val="20"/>
        </w:rPr>
        <w:t>. Neither the Company nor any of its subsidiaries nor, to the knowledge of the Company,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or regulatory official or employee; (iii) made any bribe, rebate, payoff, influence payment, kickback or other unlawful payment; or (iv) violated or is in violation of any provision of (w) the Foreign Corrupt Practices Act of 1977, as amended, and the rules and regulations thereunder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(y) any applicable law or regulation implementing the OECD Convention on Combating Bribery of Foreign Public Officials in International Business Transactions, or (z) the Bribery Act 2010 of the United Kingdom. The Company and its subsidiaries have instituted and maintain and enforce policies and procedures designed to promote and ensure compliance with all applicable anti-bribery and anti-corruption laws.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Compliance with Anti-Money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material compliance with all applicable financial recordkeeping and reporting requirements, including those of the Currency and Foreign Transactions Reporting Act of 1970, as amended, the applicable anti-money laundering statutes of all jurisdictions where the Company or any of its subsidiaries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Compliance with OFAC</w:t>
      </w:r>
      <w:r>
        <w:rPr>
          <w:rFonts w:ascii="Times New Roman;Times;Serif" w:hAnsi="Times New Roman;Times;Serif"/>
          <w:b w:val="false"/>
          <w:i w:val="false"/>
          <w:caps w:val="false"/>
          <w:smallCaps w:val="false"/>
          <w:sz w:val="20"/>
        </w:rPr>
        <w:t>. Neither the Company nor any of its subsidiaries nor, to the knowledge of the Company, any director, officer, agent, employee or Affiliate of the Company or any of its subsidiaries is an individual or entity (an “</w:t>
      </w:r>
      <w:r>
        <w:rPr>
          <w:rFonts w:ascii="Times New Roman;Times;Serif" w:hAnsi="Times New Roman;Times;Serif"/>
          <w:b/>
          <w:i w:val="false"/>
          <w:caps w:val="false"/>
          <w:smallCaps w:val="false"/>
          <w:sz w:val="20"/>
        </w:rPr>
        <w:t>OFAC Person</w:t>
      </w:r>
      <w:r>
        <w:rPr>
          <w:rFonts w:ascii="Times New Roman;Times;Serif" w:hAnsi="Times New Roman;Times;Serif"/>
          <w:b w:val="false"/>
          <w:i w:val="false"/>
          <w:caps w:val="false"/>
          <w:smallCaps w:val="false"/>
          <w:sz w:val="20"/>
        </w:rPr>
        <w:t>”), or is owned or controlled by an OFAC Person, that is currently the subject or target of any sanctions administered or enforced by the U.S. government (including, without limitation,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the target of Sanctions, including, without limitation, the Crimea Region, the so-called Donetsk People’s Republic, the so-called Luhansk People’s Republic, Cuba, Iran, North Korea and Syria (each, a “</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and the Company will not directly or indirectly use the proceeds of the offering, or lend, contribute or otherwise make available such proceeds to any subsidiary, joint venture partner or other OFAC Person (i) to fund or facilitate any activities of or business with any OFAC Person that, at the time of such funding or facilitation, is the subject or the target of Sanctions, (ii) to fund or facilitate any activities or business in any Sanctioned Country or (iii) in any other manner that will result in a violation by any OFAC Person (including any OFAC Person participating in the transaction, whether as underwriter, advisor, investor or otherwise) of Sanctions. Since the Company’s inception, the Company and its subsidiaries have not knowingly engaged in and are not now knowingly engaged in any dealings or transactions with any OFAC Person that at the time of the dealing or transaction is or was the subject or the target of Sanctions or with any Sanctioned Country.</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15</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No Registration Rights</w:t>
      </w:r>
      <w:r>
        <w:rPr>
          <w:rFonts w:ascii="Times New Roman;Times;Serif" w:hAnsi="Times New Roman;Times;Serif"/>
          <w:b w:val="false"/>
          <w:i w:val="false"/>
          <w:caps w:val="false"/>
          <w:smallCaps w:val="false"/>
          <w:sz w:val="20"/>
        </w:rPr>
        <w:t>. Except as described in the Registration Statement, the Pricing Disclosure Package and the Final Prospectus, there are no contracts, agreements or understandings (other than rights that have been waived in writing or otherwise satisfied) between the Company or any of its subsidiaries, on the one hand, and any person, on the other hand, granting such person any rights (other than rights that have been waived in writing or otherwise satisfied) to require the Company or any of its subsidiaries to file a registration statement under the Securities Act with respect to any securities of the Company or any of its subsidiaries owned or to be owned by such person or to require the Company or any of its subsidiaries to include such securities in any securities to be registered pursuant to any registration statement to be filed by the Company or any of its subsidiaries under the Securities Act.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Disclosure; Accurate Summaries</w:t>
      </w:r>
      <w:r>
        <w:rPr>
          <w:rFonts w:ascii="Times New Roman;Times;Serif" w:hAnsi="Times New Roman;Times;Serif"/>
          <w:b w:val="false"/>
          <w:i w:val="false"/>
          <w:caps w:val="false"/>
          <w:smallCaps w:val="false"/>
          <w:sz w:val="20"/>
        </w:rPr>
        <w:t>. The statements set forth in each of the Pricing Prospectus and the Final Prospectus under the captions “Certain Relationships and Related Party Transactions,” “Description of Capital Stock,” “Shares Eligible for Future Sale,” “Certain U.S. Federal Income Tax Considerations,” and “Underwriting”, insofar as they purport to summarize the provisions of the laws, agreements and documents referred to therein, are accurate summaries of such laws, agreements, documents or proceedings. The Common Stock (including the Shares) conforms in all material respects to the description thereof contained therein.</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 Company does not own or control, directly or indirectly, any corporation, association or other entity other than the subsidiaries listed in Exhibit 21 to the Registration Statement.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No Restrictions on Subsidiaries</w:t>
      </w:r>
      <w:r>
        <w:rPr>
          <w:rFonts w:ascii="Times New Roman;Times;Serif" w:hAnsi="Times New Roman;Times;Serif"/>
          <w:b w:val="false"/>
          <w:i w:val="false"/>
          <w:caps w:val="false"/>
          <w:smallCaps w:val="false"/>
          <w:sz w:val="20"/>
        </w:rPr>
        <w:t>. No subsidiary of the Company is currently prohibited, directly or indirectly,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16</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No Broker’s Fees</w:t>
      </w:r>
      <w:r>
        <w:rPr>
          <w:rFonts w:ascii="Times New Roman;Times;Serif" w:hAnsi="Times New Roman;Times;Serif"/>
          <w:b w:val="false"/>
          <w:i w:val="false"/>
          <w:caps w:val="false"/>
          <w:smallCaps w:val="false"/>
          <w:sz w:val="20"/>
        </w:rPr>
        <w:t>. Except as disclosed in the Registration Statement, the Pricing Disclosure Package and the Final Prospectus,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Firm Shares or the Option Shares.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Subject to notice of issuance, the Shares have been approved for listing on the Exchange.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Underwriters or to counsel for the Underwriters shall be deemed to be a representation and warranty by the Company to the Underwriters as to the matters set forth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 Representations and Warranties of the Underwriters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Underwriter, severally and not jointly, represents and warrants to, and agrees with,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Testing-the-Waters Communications</w:t>
      </w:r>
      <w:r>
        <w:rPr>
          <w:rFonts w:ascii="Times New Roman;Times;Serif" w:hAnsi="Times New Roman;Times;Serif"/>
          <w:b w:val="false"/>
          <w:i w:val="false"/>
          <w:caps w:val="false"/>
          <w:smallCaps w:val="false"/>
          <w:sz w:val="20"/>
        </w:rPr>
        <w:t>. Such Underwriter has not engaged in any Testing-the-Waters Communication.</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 Purchase and Resale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Agreements to Sell and Purchase</w:t>
      </w:r>
      <w:r>
        <w:rPr>
          <w:rFonts w:ascii="Times New Roman;Times;Serif" w:hAnsi="Times New Roman;Times;Serif"/>
          <w:b w:val="false"/>
          <w:i w:val="false"/>
          <w:caps w:val="false"/>
          <w:smallCaps w:val="false"/>
          <w:sz w:val="20"/>
        </w:rPr>
        <w:t>. On the basis of the representations, warranties and covenants herein and subject to the conditions herein and any adjustments made in accordance with Section 13 hereof,</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agrees to issue and sell the Firm Shares to the several Underwriters;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Underwriters agree, severally and not jointly, to purchase from the Company the number of Firm Shares set forth opposite such Underwriter’s name in Schedule I hereto, subject to such adjustments among the Underwriters as the Representative in its sole discretion shall make to eliminate any sales or purchases of fractional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Firm Shares are to be offered initially to the public at the offering price set forth on the cover page of the Final Prospectus (the “</w:t>
      </w:r>
      <w:r>
        <w:rPr>
          <w:rFonts w:ascii="Times New Roman;Times;Serif" w:hAnsi="Times New Roman;Times;Serif"/>
          <w:b/>
          <w:i w:val="false"/>
          <w:caps w:val="false"/>
          <w:smallCaps w:val="false"/>
          <w:sz w:val="20"/>
        </w:rPr>
        <w:t>Public Offering Price</w:t>
      </w:r>
      <w:r>
        <w:rPr>
          <w:rFonts w:ascii="Times New Roman;Times;Serif" w:hAnsi="Times New Roman;Times;Serif"/>
          <w:b w:val="false"/>
          <w:i w:val="false"/>
          <w:caps w:val="false"/>
          <w:smallCaps w:val="false"/>
          <w:sz w:val="20"/>
        </w:rPr>
        <w:t>”). The purchase price per Firm Share to be paid by the several Underwriters to the Company shall be $[____] per share (representing 93.5% of the Public Offering Price)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Payment for the Firm Shares (the “</w:t>
      </w:r>
      <w:r>
        <w:rPr>
          <w:rFonts w:ascii="Times New Roman;Times;Serif" w:hAnsi="Times New Roman;Times;Serif"/>
          <w:b/>
          <w:i w:val="false"/>
          <w:caps w:val="false"/>
          <w:smallCaps w:val="false"/>
          <w:sz w:val="20"/>
        </w:rPr>
        <w:t>Firm Shares Payment</w:t>
      </w:r>
      <w:r>
        <w:rPr>
          <w:rFonts w:ascii="Times New Roman;Times;Serif" w:hAnsi="Times New Roman;Times;Serif"/>
          <w:b w:val="false"/>
          <w:i w:val="false"/>
          <w:caps w:val="false"/>
          <w:smallCaps w:val="false"/>
          <w:sz w:val="20"/>
        </w:rPr>
        <w:t>”) shall be made by wire transfer in immediately available funds to the accounts specified by the Company to the Representative at the offices of Sichenzia Ross Ference Carmel LLP at 10:00 a.m. Eastern Time, on [__________], 2024, or at such other place on the same or such other date and time, not later than the fifth (5th) Business day thereafter, as the Representative and the Company may agree upon in writing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The Firm Shares Payment shall be made against delivery of the Firm Shares to be purchased on the Closing Date to the Representative for the respective accounts of the several Underwriters, with any transfer taxes, stamp duties and other similar taxes payable in connection with the sale of the Firm Shares duly paid by the Company. Delivery of the Firm Shares shall be made through the facilities of the Depository Trust Company (the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unless the Representative shall otherwise instruct.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bdr w:val="single" w:sz="12" w:space="1" w:color="000000"/>
        </w:rPr>
      </w:pPr>
      <w:r>
        <w:rPr>
          <w:bdr w:val="single" w:sz="12" w:space="1" w:color="000000"/>
        </w:rPr>
        <w:t>17</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Over-Allotment Option</w:t>
      </w:r>
      <w:r>
        <w:rPr>
          <w:rFonts w:ascii="Times New Roman;Times;Serif" w:hAnsi="Times New Roman;Times;Serif"/>
          <w:b w:val="false"/>
          <w:i w:val="false"/>
          <w:caps w:val="false"/>
          <w:smallCaps w:val="false"/>
          <w:sz w:val="20"/>
        </w:rPr>
        <w:t>. On the basis of the representations, warranties and covenants herein and subject to the conditions herein,</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Underwriters shall have the option to purchase, severally and not jointly, in whole or in part, the Option Shares from the Company (the “</w:t>
      </w:r>
      <w:r>
        <w:rPr>
          <w:rFonts w:ascii="Times New Roman;Times;Serif" w:hAnsi="Times New Roman;Times;Serif"/>
          <w:b/>
          <w:i w:val="false"/>
          <w:caps w:val="false"/>
          <w:smallCaps w:val="false"/>
          <w:sz w:val="20"/>
        </w:rPr>
        <w:t>Over-Allotment Option</w:t>
      </w:r>
      <w:r>
        <w:rPr>
          <w:rFonts w:ascii="Times New Roman;Times;Serif" w:hAnsi="Times New Roman;Times;Serif"/>
          <w:b w:val="false"/>
          <w:i w:val="false"/>
          <w:caps w:val="false"/>
          <w:smallCaps w:val="false"/>
          <w:sz w:val="20"/>
        </w:rPr>
        <w:t>”), in each case, at a price per share equal to the Purchase Price (the “</w:t>
      </w:r>
      <w:r>
        <w:rPr>
          <w:rFonts w:ascii="Times New Roman;Times;Serif" w:hAnsi="Times New Roman;Times;Serif"/>
          <w:b/>
          <w:i w:val="false"/>
          <w:caps w:val="false"/>
          <w:smallCaps w:val="false"/>
          <w:sz w:val="20"/>
        </w:rPr>
        <w:t>Over-Allotment Option Purchase Price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an exercise of the Over-Allotment Option and subject to the terms and conditions herein, the Company agrees to issue and sell the Option Shares to the several Underwriters;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parties agree that the Underwriters may only exercise the Over-Allotment Option for the purpose of covering over-allotments made in connection with the offering of the Firm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Underwriters may exercise the Over-Allotment Option at any time in whole, or from time to time in part, on or before the forty-fifth (45th) day following the Closing Date, by written notice from the Representative to the Company (the “</w:t>
      </w:r>
      <w:r>
        <w:rPr>
          <w:rFonts w:ascii="Times New Roman;Times;Serif" w:hAnsi="Times New Roman;Times;Serif"/>
          <w:b/>
          <w:i w:val="false"/>
          <w:caps w:val="false"/>
          <w:smallCaps w:val="false"/>
          <w:sz w:val="20"/>
        </w:rPr>
        <w:t>Over-Allotment Exercise Notice</w:t>
      </w:r>
      <w:r>
        <w:rPr>
          <w:rFonts w:ascii="Times New Roman;Times;Serif" w:hAnsi="Times New Roman;Times;Serif"/>
          <w:b w:val="false"/>
          <w:i w:val="false"/>
          <w:caps w:val="false"/>
          <w:smallCaps w:val="false"/>
          <w:sz w:val="20"/>
        </w:rPr>
        <w:t>”). The Underwriters must give the Over-Allotment Exercise Notice to the Company at least one Business day prior to the Closing Date or the applicable Additional Closing Date, as the case may be. The Representative may cancel any exercise of the Over-Allotment Option at any time prior to the Closing Date or the applicable Additional Closing Date, as the case may be, by giving written notice of such cancellation to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Over-Allotment Exercise Notice shall set forth:</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number of Option Shares as to which the Over-Allotment Option is being exercised;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Over-Allotment Option Purchase Price;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names and denominations in which the Option Shares are to be registered;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applicable Additional Closing Date, which may be the same date and time as the Closing Date but shall not be earlier than the Closing Date nor later than the tenth (10th) full Business day after the date of the Over-Allotment Exercise Notice.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center"/>
        <w:rPr>
          <w:bdr w:val="single" w:sz="12" w:space="1" w:color="000000"/>
        </w:rPr>
      </w:pPr>
      <w:r>
        <w:rPr>
          <w:bdr w:val="single" w:sz="12" w:space="1" w:color="000000"/>
        </w:rPr>
        <w:t>18</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Payment for the Option Shares (the “</w:t>
      </w:r>
      <w:r>
        <w:rPr>
          <w:rFonts w:ascii="Times New Roman;Times;Serif" w:hAnsi="Times New Roman;Times;Serif"/>
          <w:b/>
          <w:i w:val="false"/>
          <w:caps w:val="false"/>
          <w:smallCaps w:val="false"/>
          <w:sz w:val="20"/>
        </w:rPr>
        <w:t>Option Shares Payment</w:t>
      </w:r>
      <w:r>
        <w:rPr>
          <w:rFonts w:ascii="Times New Roman;Times;Serif" w:hAnsi="Times New Roman;Times;Serif"/>
          <w:b w:val="false"/>
          <w:i w:val="false"/>
          <w:caps w:val="false"/>
          <w:smallCaps w:val="false"/>
          <w:sz w:val="20"/>
        </w:rPr>
        <w:t>”) shall be made by wire transfer in immediately available funds to the accounts specified by the Company to the Representative at the offices of Sichenzia Ross Ference Carmel at 10:00 a.m. Eastern Time, on the date specified in the corresponding Over-Allotment Exercise Notice, or at such other place on the same or such other date and time, not later than the fifth (5th) Business day thereafter, as the Representative and the Company may agree upon in writing (an “</w:t>
      </w:r>
      <w:r>
        <w:rPr>
          <w:rFonts w:ascii="Times New Roman;Times;Serif" w:hAnsi="Times New Roman;Times;Serif"/>
          <w:b/>
          <w:i w:val="false"/>
          <w:caps w:val="false"/>
          <w:smallCaps w:val="false"/>
          <w:sz w:val="20"/>
        </w:rPr>
        <w:t>Additional Closing Date</w:t>
      </w:r>
      <w:r>
        <w:rPr>
          <w:rFonts w:ascii="Times New Roman;Times;Serif" w:hAnsi="Times New Roman;Times;Serif"/>
          <w:b w:val="false"/>
          <w:i w:val="false"/>
          <w:caps w:val="false"/>
          <w:smallCaps w:val="false"/>
          <w:sz w:val="20"/>
        </w:rPr>
        <w:t>”). The Option Shares Payment shall be made against delivery to the Representative for the respective accounts of the several Underwriters of the Option Shares to be purchased on any Additional Closing Date, with any transfer taxes, stamp duties and other similar taxes payable in connection with the sale of the Option Shares duly paid by the Company. Delivery of the Option Shares shall be made through the facilities of DTC unless the Representative shall otherwise instruct.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Public Offering</w:t>
      </w:r>
      <w:r>
        <w:rPr>
          <w:rFonts w:ascii="Times New Roman;Times;Serif" w:hAnsi="Times New Roman;Times;Serif"/>
          <w:b w:val="false"/>
          <w:i w:val="false"/>
          <w:caps w:val="false"/>
          <w:smallCaps w:val="false"/>
          <w:sz w:val="20"/>
        </w:rPr>
        <w:t>. The Company understands that the Underwriters intend to make a public offering of the Shares as soon after the effectiveness of this Agreement as in the judgment of the Representative is advisable, and initially to offer the Shares on the terms set forth in the Final Prospectus. The Company acknowledges and agrees that the Underwriters may offer and sell Shares to or through any Affiliate of an Underwriter.</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Representative’s Warrants</w:t>
      </w:r>
      <w:r>
        <w:rPr>
          <w:rFonts w:ascii="Times New Roman;Times;Serif" w:hAnsi="Times New Roman;Times;Serif"/>
          <w:b w:val="false"/>
          <w:i w:val="false"/>
          <w:caps w:val="false"/>
          <w:smallCaps w:val="false"/>
          <w:sz w:val="20"/>
        </w:rPr>
        <w:t>. As additional compensation for the Representative’s services, the Company shall issue to the Representative or its designees at the closing of the Offering Representative’s Warrants to purchase that number of shares of Common Stock equal to 5.0% of the aggregate number of Firm Shares sold in the Offering. The Representative’s Warrant will be exercisable at any time and from time to time, in whole or in part, during the period commencing 180 days from the commencement of sales of the Firm Shares in the public offering and ending four years and six months thereafter, at a price per share equal to 125.0% of the offering price per Firm Share. The Representative’s Warrants and the Representative’s Warrant Shares are hereinafter referred to collectively as the “</w:t>
      </w:r>
      <w:r>
        <w:rPr>
          <w:rFonts w:ascii="Times New Roman;Times;Serif" w:hAnsi="Times New Roman;Times;Serif"/>
          <w:b/>
          <w:i w:val="false"/>
          <w:caps w:val="false"/>
          <w:smallCaps w:val="false"/>
          <w:sz w:val="20"/>
        </w:rPr>
        <w:t>Representative’s Securities</w:t>
      </w:r>
      <w:r>
        <w:rPr>
          <w:rFonts w:ascii="Times New Roman;Times;Serif" w:hAnsi="Times New Roman;Times;Serif"/>
          <w:b w:val="false"/>
          <w:i w:val="false"/>
          <w:caps w:val="false"/>
          <w:smallCaps w:val="false"/>
          <w:sz w:val="20"/>
        </w:rPr>
        <w:t>.” The Representative understands and agrees that there are restrictions pursuant to FINRA Rule 5110 against transferring the Representative’s Warrant and the underlying Representative’s Warrant Shares during the 180-day period after the commencement of sales of the Firm Shares in the Offering and by its acceptance thereof shall agree that it and its respective designees, if any, will not, sell, transfer, assign, pledge or hypothecate their respective Representative’s Securities, or any portion thereof, or be the subject of any hedging, short sale, derivative, put or call transaction that would result in the effective economic disposition of such securities for a period of 180 days following the commencement of sales of the public offering to anyone other than (A) an Underwriter or a selected dealer in connection with the Offering, or (B) a bona fide officer or partner of the Underwriter or selected dealer; and only if any such transferee agrees to the foregoing lock-up restrictions. Delivery of the executed Representative’s Warrants shall be made on the Closing Date and the Representative’s Warrants shall be issued in the name or names and in such authorized denominations as the Representative may request.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19</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hereby covenants and agrees with each Underwriter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Filings with the Commission</w:t>
      </w:r>
      <w:r>
        <w:rPr>
          <w:rFonts w:ascii="Times New Roman;Times;Serif" w:hAnsi="Times New Roman;Times;Serif"/>
          <w:b w:val="false"/>
          <w:i w:val="false"/>
          <w:caps w:val="false"/>
          <w:smallCaps w:val="false"/>
          <w:sz w:val="20"/>
        </w:rPr>
        <w:t>. The Company will:</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prepare and file the Final Prospectus (in a form approved by the Representative and containing the Rule 430A Information) with the Commission in accordance with and within the time periods specified by Rules 424(b) and 430A under the Securities Act;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 with the Commission such reports as may be required by Rule 463 under the Securities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to the Representative</w:t>
      </w:r>
      <w:r>
        <w:rPr>
          <w:rFonts w:ascii="Times New Roman;Times;Serif" w:hAnsi="Times New Roman;Times;Serif"/>
          <w:b w:val="false"/>
          <w:i w:val="false"/>
          <w:caps w:val="false"/>
          <w:smallCaps w:val="false"/>
          <w:sz w:val="20"/>
        </w:rPr>
        <w:t>. The Company will advise the Representative promptly, and confirm such advice in writing:</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 the Registration Statement has become effective;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when the Final Prospectus has been filed with the Commission;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when any amendment to the Registration Statement has been filed or becomes effective;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when any Rule 462(b) Registration Statement has been filed with the Commission;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when any supplement to the Final Prospectus, or any amendment to the Final Prospectus has been filed or distributed;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of (x) any request by the Commission for any amendment to the Registration Statement or any amendment or supplement to the Final Prospectus, (y) the receipt of any comments from the Commission relating to the Registration Statement or (z) any other request by the Commission for any additional information;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bdr w:val="single" w:sz="12" w:space="1" w:color="000000"/>
        </w:rPr>
      </w:pPr>
      <w:r>
        <w:rPr>
          <w:bdr w:val="single" w:sz="12" w:space="1" w:color="000000"/>
        </w:rPr>
        <w:t>20</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of (x) the issuance by the Commission of any order suspending the effectiveness of the Registration Statement or preventing or suspending the use of the Registration Statement, the Pricing Disclosure Package, or the Final Prospectus, any Preliminary Prospectus, or (y) the initiation or, to the knowledge of the Company, threatening of any proceeding for that purpose or pursuant to Section 8A of the Securities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of the occurrence of any event or development within the Prospectus Delivery Period as a result of which, the Final Prospectus, or the Pricing Disclosure Package, then amended or supplemented would include any untrue statement of a material fact or omit to state a material fact necessary in order to make the statements therein, in the light of the circumstances existing when the Final Prospectus, or the Pricing Disclosure Package is delivered to a purchaser, not misleading;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of the issuance by any governmental or regulatory authority of any order preventing or suspending the use of any of the Registration Statement, the Pricing Disclosure Package, or the Final Prospectus, any Preliminary Prospectus or the initiation or threatening for that purpose;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of the receipt by the Company of any notice with respect to any suspension of the qualification of the Shares for offer and sale in any jurisdiction or the initiation or, to the knowledge of the Company, threatening of any proceeding for such purpose.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Orders and Notices</w:t>
      </w:r>
      <w:r>
        <w:rPr>
          <w:rFonts w:ascii="Times New Roman;Times;Serif" w:hAnsi="Times New Roman;Times;Serif"/>
          <w:b w:val="false"/>
          <w:i w:val="false"/>
          <w:caps w:val="false"/>
          <w:smallCaps w:val="false"/>
          <w:sz w:val="20"/>
        </w:rPr>
        <w:t>. The Company will use its best efforts to prevent the issuance of any order or notice described in Sections 4(b)(vii), 4(b)(ix) or 4(b)(x); and, if any such order or notice is issued, will obtain as soon as possible the withdrawal thereof.</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Ongoing Compliance</w:t>
      </w:r>
      <w:r>
        <w:rPr>
          <w:rFonts w:ascii="Times New Roman;Times;Serif" w:hAnsi="Times New Roman;Times;Serif"/>
          <w:b w:val="false"/>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during the Prospectus Delivery Period: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event or development shall occur or condition shall exist as a result of which the Final Prospectus as then amended or supplemented would include any untrue statement of a material fact or omit to state any material fact necessary in order to make the statements therein, in the light of the circumstances existing when the Final Prospectus is delivered to a purchaser, not misleading, the Company will, as soon as reasonably possible, notify the Underwriters thereof and forthwith prepare and, subject to Section 4(e) hereof, file with the Commission and furnish, at its own expense, to the Underwriters and to such dealers as the Representative may designate such amendments or supplements to the Final Prospectus as may be necessary so that the statements in the Final Prospectus as so amended or supplemented will not, in the light of the circumstances existing when the Final Prospectus is delivered to a purchaser, be misleading;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center"/>
        <w:rPr>
          <w:bdr w:val="single" w:sz="12" w:space="1" w:color="000000"/>
        </w:rPr>
      </w:pPr>
      <w:r>
        <w:rPr>
          <w:bdr w:val="single" w:sz="12" w:space="1" w:color="000000"/>
        </w:rPr>
        <w:t>21</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necessary to amend or supplement the Final Prospectus to comply with applicable law, the Company will, as soon as reasonably possible, notify the Underwriters thereof and forthwith prepare and, subject to Section 4(e) hereof, file with the Commission and furnish, at its own expense, to the Underwriters and to such dealers as the Representative may designate such amendments or supplements to the Final Prospectus as may be necessary so that the Final Prospectus will comply with applicable law; and</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at any time prior to the Closing Date or any Additional Closing Date, as the case may be: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the Company will immediately notify the Underwriters thereof and forthwith prepare and, subject to Section 4(e) hereof, file with the Commission (to the extent required) and furnish, at its own expense,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necessary to amend or supplement the Pricing Disclosure Package to comply with applicable law, the Company will immediately notify the Underwriters thereof and forthwith prepare and, subject to Section 4(e) hereof, file with the Commission (to the extent required) and furnish, at its own expense, to the Underwriters and to such dealers as the Representative may designate such amendments or supplements to the Pricing Disclosure Package as may be necessary so that the Pricing Disclosure Package will comply with applicable law.</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Amendments and Supplements</w:t>
      </w:r>
      <w:r>
        <w:rPr>
          <w:rFonts w:ascii="Times New Roman;Times;Serif" w:hAnsi="Times New Roman;Times;Serif"/>
          <w:b w:val="false"/>
          <w:i w:val="false"/>
          <w:caps w:val="false"/>
          <w:smallCaps w:val="false"/>
          <w:sz w:val="20"/>
        </w:rPr>
        <w:t>. Before (i) filing (x) any Rule 462(b) Registration Statement or (y) any amendment or supplement to the Registration Statement or the Final Prospectus, or (iii) distributing any amendment or supplement to the Pricing Disclosure Package or the Final Prospectus, the Company will furnish to the Representative and counsel for the Underwriters a copy of the Rule 462(b) Registration Statement or other amendment or supplement for review and will not use, authorize, refer to, distribute or file any such Rule 462(b) Registration Statement, or file or distribute any such proposed amendment or supplement (A) to which the Representative objects in a timely manner and (B) which is not in compliance with the Securities Act.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22</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Delivery of Copies</w:t>
      </w:r>
      <w:r>
        <w:rPr>
          <w:rFonts w:ascii="Times New Roman;Times;Serif" w:hAnsi="Times New Roman;Times;Serif"/>
          <w:b w:val="false"/>
          <w:i w:val="false"/>
          <w:caps w:val="false"/>
          <w:smallCaps w:val="false"/>
          <w:sz w:val="20"/>
        </w:rPr>
        <w:t>. The Company will, upon request of the Representative, deliver, without charge, (i) to the Representative, three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consents) and (B) during the Prospectus Delivery Period, as many copies of the Final Prospectus (including all amendments and supplements thereto) as the Representative may reasonably request.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Emerging Growth Company Status</w:t>
      </w:r>
      <w:r>
        <w:rPr>
          <w:rFonts w:ascii="Times New Roman;Times;Serif" w:hAnsi="Times New Roman;Times;Serif"/>
          <w:b w:val="false"/>
          <w:i w:val="false"/>
          <w:caps w:val="false"/>
          <w:smallCaps w:val="false"/>
          <w:sz w:val="20"/>
        </w:rPr>
        <w:t>. The Company will promptly notify the Representative if the Company ceases to be an Emerging Growth Company at any time prior to the later of (i) completion of the distribution of the Shares within the meaning of the Securities Act and (ii) completion of the Lock-Up Period (as defined below).</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Blue Sky Compliance</w:t>
      </w:r>
      <w:r>
        <w:rPr>
          <w:rFonts w:ascii="Times New Roman;Times;Serif" w:hAnsi="Times New Roman;Times;Serif"/>
          <w:b w:val="false"/>
          <w:i w:val="false"/>
          <w:caps w:val="false"/>
          <w:smallCaps w:val="false"/>
          <w:sz w:val="20"/>
        </w:rPr>
        <w:t xml:space="preserve">. The Company will use its best efforts, with the Underwriters’ cooperation, if necessary, to qualify or register (or to obtain exemptions from qualifying or registering) the Shares for offer and sale under the securities or Blue Sky laws of such jurisdictions as the Representative shall reasonably request and will use its reasonable best efforts, with the Underwriters’ cooperation, if necessary, to continue such qualifications, registrations and exemptions in effect so long as required for the distribution of the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Earning Statement</w:t>
      </w:r>
      <w:r>
        <w:rPr>
          <w:rFonts w:ascii="Times New Roman;Times;Serif" w:hAnsi="Times New Roman;Times;Serif"/>
          <w:b w:val="false"/>
          <w:i w:val="false"/>
          <w:caps w:val="false"/>
          <w:smallCaps w:val="false"/>
          <w:sz w:val="20"/>
        </w:rPr>
        <w:t xml:space="preserve">. The Company will make generally available to its security holders and the Representative as soon as practicable an earning statement that satisfies the provisions of Section 11(a) of the Securities Act and Rule 158 under the Securities Act covering a period of at least 12 months beginning with the first fiscal quarter of the Company occurring after the “effective date” (as defined in Rule 158 under the Securities Act) of the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will be deemed to have furnished such statement to its security holders and the Representative to the extent it is filed on the Commission’s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apply the net proceeds from the sale of the Firm Shares and the Option Shares in the manner described under the caption “Use of Proceeds” in the Registration Statement, the Pricing Disclosure Package and the Final Prospectus.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23</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Clear Market</w:t>
      </w:r>
      <w:r>
        <w:rPr>
          <w:rFonts w:ascii="Times New Roman;Times;Serif" w:hAnsi="Times New Roman;Times;Serif"/>
          <w:b w:val="false"/>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a period of twelve (12) months after the date of the Final Prospectus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the Company will not (x)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Common Stock, or publicly disclose the intention to make any offer, sale, pledge, disposition or filing, or (y) enter into any swap or other agreement that transfers, in whole or in part, any of the economic consequences of ownership of the Common Stock or any such other securities, whether any such transaction described in clause (x) or (y) above is to be settled by delivery of Common Stock or such other securities, in cash or otherwise, without the prior written consent of the Representative.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restrictions contained in Section 4(k)(i) hereof shall not apply to: (A) the Shares, (B) any shares of Common Stock issued under Company Stock Plans or warrants or convertible notes issued by the Company, in each case, described as outstanding in the Registration Statement, the Pricing Disclosure Package and the Final Prospectus, (C) any options and other awards granted under a Company Stock Plan as described in the Registration Statement, the Pricing Disclosure Package and the Final Prospectus, (D) the issuance of shares of Common Stock by the Company (whether upon the exercise of stock options or otherwise) to employees, officers, directors, advisors or consultants of the Company pursuant to a Company Stock Plan as described in the Registration Statement, the Pricing Disclosure Package and the Final Prospectus, (E) the filing by the Company of any registration statement on Form S-8 or a successor form thereto relating to a Company Stock Plan or employee stock purchase plan described in the Registration Statement, the Pricing Disclosure Package and the Final Prospectus, (F) 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Lock-Up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and (G)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aggregate number of shares of Common Stock issued pursuant to clause (G) shall not result in the sale of Common Stock or other securities at a price less than the Public Offering Price and (y) the recipient of any such shares of Common Stock or other securities issued or granted pursuant to clauses (B), (C), (D) and (G) during the Lock-Up Period shall enter into an agreement in the form of Exhibit A hereto for a period of twelve (12) months after the date of the Final Prospectus.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bdr w:val="single" w:sz="12" w:space="1" w:color="000000"/>
        </w:rPr>
      </w:pPr>
      <w:r>
        <w:rPr>
          <w:bdr w:val="single" w:sz="12" w:space="1" w:color="000000"/>
        </w:rPr>
        <w:t>24</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Representative, in its sole discretion, agrees to release or waive the restrictions set forth in any Lock-Up Agreement and provides the Company with notice of the impending release or waiver substantially in the form of Exhibit C hereto at least three Business days before the effective date of the release or waiver, then the Company agrees to announce the impending release or waiver by a press release substantially in the form of Exhibit D hereto through a major news service at least two Business days before the effective date of the release or waiver.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Stabilization or Manipulation</w:t>
      </w:r>
      <w:r>
        <w:rPr>
          <w:rFonts w:ascii="Times New Roman;Times;Serif" w:hAnsi="Times New Roman;Times;Serif"/>
          <w:b w:val="false"/>
          <w:i w:val="false"/>
          <w:caps w:val="false"/>
          <w:smallCaps w:val="false"/>
          <w:sz w:val="20"/>
        </w:rPr>
        <w:t>. None of the Company, its Affiliates or any person acting on its or any of their behalf (other than the Underwriters, as to which no covenant is given) will take, directly or indirectly, any action designed to or that constitutes or that could reasonably be expected to cause or result in the stabilization or manipulation of the price of any securities of the Company. The Company acknowledges that the Underwriters may engage in passive market making transactions in the Common Stock on the Exchange in accordance with Regulation M.</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shall not invest, or otherwise use the proceeds received by the Company from the sale of the Firm Shares or the Option Shares in such a manner as would require the Company or any of its subsidiaries to register as an “investment company” (as defined in the Investment Company Act) under the Investment Company Act.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engage and maintain, at its expense, a registrar and transfer agent for the Common Stock.</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 xml:space="preserve">. For the period of two years from the date of this Agreement, the Company will furnish to the Representative,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will be deemed to have furnished such reports and financial statements to the Representative to the extent they are filed on EDGAR.</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License</w:t>
      </w:r>
      <w:r>
        <w:rPr>
          <w:rFonts w:ascii="Times New Roman;Times;Serif" w:hAnsi="Times New Roman;Times;Serif"/>
          <w:b w:val="false"/>
          <w:i w:val="false"/>
          <w:caps w:val="false"/>
          <w:smallCaps w:val="false"/>
          <w:sz w:val="20"/>
        </w:rPr>
        <w:t>. Upon request of the Underwriter, the Company shall furnish, or cause to be furnished, to the Underwriter an electronic version of the Company’s trademarks, servicemarks and corporate logo for use on the website, if any, operated by the Underwriter for the purpose of facilitating the online offering of the Shares (the “</w:t>
      </w:r>
      <w:r>
        <w:rPr>
          <w:rFonts w:ascii="Times New Roman;Times;Serif" w:hAnsi="Times New Roman;Times;Serif"/>
          <w:b/>
          <w:i w:val="false"/>
          <w:caps w:val="false"/>
          <w:smallCaps w:val="false"/>
          <w:sz w:val="20"/>
        </w:rPr>
        <w:t>License</w:t>
      </w:r>
      <w:r>
        <w:rPr>
          <w:rFonts w:ascii="Times New Roman;Times;Serif" w:hAnsi="Times New Roman;Times;Serif"/>
          <w:b w:val="false"/>
          <w:i w:val="false"/>
          <w:caps w:val="false"/>
          <w:smallCaps w:val="false"/>
          <w:sz w:val="20"/>
        </w:rPr>
        <w:t>”); provided, however, that the License shall be used solely for the purpose described above, is granted without any fee and may not be assigned or transferred.</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25</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Tail Financing</w:t>
      </w:r>
      <w:r>
        <w:rPr>
          <w:rFonts w:ascii="Times New Roman;Times;Serif" w:hAnsi="Times New Roman;Times;Serif"/>
          <w:b w:val="false"/>
          <w:i w:val="false"/>
          <w:caps w:val="false"/>
          <w:smallCaps w:val="false"/>
          <w:sz w:val="20"/>
        </w:rPr>
        <w:t>. Subject to FINRA Rule 5110(g)(5)(B), the Underwriter shall be entitled to the compensation set forth in this Agreement, calculated as set forth herein, including, without limitation, the underwriting discounts and commissions, underwriter warrants and non-accountable expense reimbursement provided for herein, with respect to any public or private offering or other financing or capital raising transaction of any kind (each a “</w:t>
      </w:r>
      <w:r>
        <w:rPr>
          <w:rFonts w:ascii="Times New Roman;Times;Serif" w:hAnsi="Times New Roman;Times;Serif"/>
          <w:b/>
          <w:i w:val="false"/>
          <w:caps w:val="false"/>
          <w:smallCaps w:val="false"/>
          <w:sz w:val="20"/>
        </w:rPr>
        <w:t>Tail Financing</w:t>
      </w:r>
      <w:r>
        <w:rPr>
          <w:rFonts w:ascii="Times New Roman;Times;Serif" w:hAnsi="Times New Roman;Times;Serif"/>
          <w:b w:val="false"/>
          <w:i w:val="false"/>
          <w:caps w:val="false"/>
          <w:smallCaps w:val="false"/>
          <w:sz w:val="20"/>
        </w:rPr>
        <w:t>”) to the extent such Tail Financing or capital is provided to the Company by investors introduced to the Company, contacted by the Underwriter on behalf of the Company through an in-person, electronic or telephonic communication, or investors that the Representative had “wall-crossed” in connection with this Offering (or any entity under common management or having a common investment advisor), if such Tail Financing is consummated at any time within twelve (12) months after the closing of the offering of the Shares, or January 29, 2025, if the closing of the offering of the Shares does not occur.</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 Covenants of the Underwriters</w:t>
      </w:r>
      <w:r>
        <w:rPr>
          <w:rFonts w:ascii="Times New Roman;Times;Serif" w:hAnsi="Times New Roman;Times;Serif"/>
          <w:b w:val="false"/>
          <w:i w:val="false"/>
          <w:caps w:val="false"/>
          <w:smallCaps w:val="false"/>
          <w:sz w:val="20"/>
        </w:rPr>
        <w:t>. Each Underwriter, severally and not jointly, hereby covenants and agrees with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8A Proceedings</w:t>
      </w:r>
      <w:r>
        <w:rPr>
          <w:rFonts w:ascii="Times New Roman;Times;Serif" w:hAnsi="Times New Roman;Times;Serif"/>
          <w:b w:val="false"/>
          <w:i w:val="false"/>
          <w:caps w:val="false"/>
          <w:smallCaps w:val="false"/>
          <w:sz w:val="20"/>
        </w:rPr>
        <w:t>. Such Underwriter is not subject to any pending proceeding under Section 8A of the Securities Act with respect to the offering of the Shares and will promptly notify the Company if any such proceeding against it is initiated during the Prospectus Delivery Period.</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6. 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Expenses</w:t>
      </w:r>
      <w:r>
        <w:rPr>
          <w:rFonts w:ascii="Times New Roman;Times;Serif" w:hAnsi="Times New Roman;Times;Serif"/>
          <w:b w:val="false"/>
          <w:i w:val="false"/>
          <w:caps w:val="false"/>
          <w:smallCaps w:val="false"/>
          <w:sz w:val="20"/>
        </w:rPr>
        <w:t>. The Company hereby agrees to pay on or prior to the Closing Date all expenses incident to the performance of the obligations of the Company under this Agreement including, but not limited to: (a) all filing fees and expenses relating to the registration of the Shares with the Commission; (b) all filing fees and expenses associated with the review of the offering of the Shares by FINRA; (c) all fees and expenses relating to the listing of the Shares on the Exchange; (d) all fees, expenses and disbursements relating to the registration or qualification of the Shares as the Underwriter may reasonably designate; (e) all fees, expenses and disbursements relating to the registration, qualification or exemption of the Shares under the securities laws of such foreign jurisdictions as the Underwriter may reasonably designate; (f) the costs of all mailing and printing of the Registration Statement, Pricing Prospectus, the Final Prospectus, any Preliminary Prospectus, and all amendments, supplements and exhibits thereto as the Underwriter may reasonably deem necessary (provided that the amount payable by the Company with respect to the disbursements incurred pursuant to subsections (b) and (f) of this Section 6(a) shall not exceed $10,000 in the aggregate); (g) fees and expenses of the transfer agent for the shares of Common Stock; (h) stock transfer and/or stamp taxes, if any, payable upon the transfer of securities from the Company to the Underwriter; (i) the fees and expenses of the Company’s accountants; (k) the “road show” expenses; (l) the fees and expenses of the Company’s legal counsel and other agents and representatives; and (m) $150,000 for the fees and expenses of the Underwriter’s counsel. The Underwriter may deduct from the net proceeds of the Offering payable to the Company on the Closing Date the expenses set forth herein to be paid by the Company to the Underwriter.</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26</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Underwriter Expenses</w:t>
      </w:r>
      <w:r>
        <w:rPr>
          <w:rFonts w:ascii="Times New Roman;Times;Serif" w:hAnsi="Times New Roman;Times;Serif"/>
          <w:b w:val="false"/>
          <w:i w:val="false"/>
          <w:caps w:val="false"/>
          <w:smallCaps w:val="false"/>
          <w:sz w:val="20"/>
        </w:rPr>
        <w:t>. Except to the extent otherwise provided in this Section 6 or Section 8 hereof, the Underwriters will pay all of their own costs and expenses, including the fees and expenses of their counsel, any stock transfer taxes on resale of any of the Shares held by them, and any advertising expenses connected with any offers they may make.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Non-accountable Expenses</w:t>
      </w:r>
      <w:r>
        <w:rPr>
          <w:rFonts w:ascii="Times New Roman;Times;Serif" w:hAnsi="Times New Roman;Times;Serif"/>
          <w:b w:val="false"/>
          <w:i w:val="false"/>
          <w:caps w:val="false"/>
          <w:smallCaps w:val="false"/>
          <w:sz w:val="20"/>
        </w:rPr>
        <w:t>. On the Closing Date and any Additional Closing Date, the Company shall pay to the Underwriter, by deduction from the net proceeds of the Offering a non-accountable expense allowance equal to one percent (1.0%) of the gross proceeds received by the Company from the sale of the Firm Shares or the Option Shares, as the case may be.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Reimbursement</w:t>
      </w:r>
      <w:r>
        <w:rPr>
          <w:rFonts w:ascii="Times New Roman;Times;Serif" w:hAnsi="Times New Roman;Times;Serif"/>
          <w:b w:val="false"/>
          <w:i w:val="false"/>
          <w:caps w:val="false"/>
          <w:smallCaps w:val="false"/>
          <w:sz w:val="20"/>
        </w:rPr>
        <w:t>. The provisions of this Section 6 shall not affect any agreement that the Company may make for the sharing of such costs and expenses.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7. Conditions of the Obligations of the Underwriters</w:t>
      </w:r>
      <w:r>
        <w:rPr>
          <w:rFonts w:ascii="Times New Roman;Times;Serif" w:hAnsi="Times New Roman;Times;Serif"/>
          <w:b w:val="false"/>
          <w:i w:val="false"/>
          <w:caps w:val="false"/>
          <w:smallCaps w:val="false"/>
          <w:sz w:val="20"/>
        </w:rPr>
        <w:t>. The obligations of the several Underwriters to purchase the Firm Shares as provided herein on the Closing Date or the Option Shares as provided herein on any Additional Closing Date, as the case may be, shall be subject to the timely performance by the Company of its covenants and other obligations hereunder, and to each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Compliance; No Stop Order</w:t>
      </w:r>
      <w:r>
        <w:rPr>
          <w:rFonts w:ascii="Times New Roman;Times;Serif" w:hAnsi="Times New Roman;Times;Serif"/>
          <w:b w:val="false"/>
          <w:i w:val="false"/>
          <w:caps w:val="false"/>
          <w:smallCaps w:val="false"/>
          <w:sz w:val="20"/>
        </w:rPr>
        <w: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Registration Statement and any post-effective amendment thereto shall have become effective, no stop order suspending the effectiveness of the Registration Statement or any post-effective amendment thereto shall be in effect, and no proceeding for such purpose or pursuant to Section 8A of the Securities Act shall be pending before or threatened by the Commission.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have filed the Final Prospectus with the Commission in accordance with and within the time periods prescribed by Section 4(a)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have (A) disclosed to the Representative all requests by the Commission for additional information relating to the offer and sale of the Shares and (B) complied with such requests to the satisfaction of the Commission.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contained herein shall be true and correct on the date hereof and on and as of the Closing Date or any Additional Closing Date, as the case may be; and the statements of the Company and its officers made in any certificates delivered pursuant to this Agreement shall be true and correct on and as of the Closing Date or any Additional Closing Date, as the case may be.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27</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Accountants’ Comfort Letters; CFO Certificates</w:t>
      </w:r>
      <w:r>
        <w:rPr>
          <w:rFonts w:ascii="Times New Roman;Times;Serif" w:hAnsi="Times New Roman;Times;Serif"/>
          <w:b w:val="false"/>
          <w:i w:val="false"/>
          <w:caps w:val="false"/>
          <w:smallCaps w:val="false"/>
          <w:sz w:val="20"/>
        </w:rPr>
        <w:t xml:space="preserve">. [(i)] On the date of this Agreement and on the Closing Date or any Additional Closing Date, as the case may be, dbbMcKennon shall have furnished to the Representative, at the request of the Company, letters, dated the respective dates of delivery thereof and addressed to the Representative, in form and substance reasonably satisfactory to the Representative,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Final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delivered on the Closing Date or any Additional Closing Date, as the case may be, shall use a “cut-off” date no more than two Business days prior to the Closing Date or such Additional Closing Date, as the case may be.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date of this Agreement and on the Closing Date or any Additional Closing Date, as the case may be, the Company shall have furnished to the Representative certificates of the Company’s chief financial officer, dated the respective dates of their delivery and addressed to the Underwriters, with respect to certain financial data contained in each of the Registration Statement, the Pricing Disclosure Package and the Final Prospectus, providing “management comfort” with respect to such information, in form and substance satisfactory to the Representative.</w:t>
      </w:r>
    </w:p>
    <w:p>
      <w:pPr>
        <w:pStyle w:val="TextBody"/>
        <w:bidi w:val="0"/>
        <w:spacing w:before="0" w:after="0"/>
        <w:ind w:left="1620" w:right="0" w:firstLine="54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No event or condition of a type described in Section 1(l) hereof shall have occurred or shall exist, which event or condition is not described in each of the Pricing Disclosure Package and the Final Prospectus (in each case, exclusive of any amendment or supplement thereto), the effect of which in the judgment of the Representative makes it impracticable or inadvisable to proceed with the offering, sale or delivery of the Shares on the Closing Date or any Additional Closing Date, as the case may be, in the manner and on the terms contemplated by this Agreement, the Pricing Disclosure Package and the Final Prospectus (in each case, exclusive of any amendment or supplement thereto).</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Opinion and Negative Assurance Letter of Counsel to the Company</w:t>
      </w:r>
      <w:r>
        <w:rPr>
          <w:rFonts w:ascii="Times New Roman;Times;Serif" w:hAnsi="Times New Roman;Times;Serif"/>
          <w:b w:val="false"/>
          <w:i w:val="false"/>
          <w:caps w:val="false"/>
          <w:smallCaps w:val="false"/>
          <w:sz w:val="20"/>
        </w:rPr>
        <w:t>. Orrick Herrington &amp; Sutcliffe LLP, counsel to the Company, shall have furnished to the Representative, at the request of the Company, its (i) written opinion, addressed to the Underwriters and dated the Closing Date or any Additional Closing Date, as the case may be, and (ii) negative assurance letter, addressed to the Underwriters and dated the Closing Date or any Additional Closing Date, as the case may be, in each case, in form and substance reasonably satisfactory to the Representative.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28</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Officers’ Certificates</w:t>
      </w:r>
      <w:r>
        <w:rPr>
          <w:rFonts w:ascii="Times New Roman;Times;Serif" w:hAnsi="Times New Roman;Times;Serif"/>
          <w:b w:val="false"/>
          <w:i w:val="false"/>
          <w:caps w:val="false"/>
          <w:smallCaps w:val="false"/>
          <w:sz w:val="20"/>
        </w:rPr>
        <w:t>. The Representative shall have received on and as of the Closing Date or any Additional Closing Date, as the case may be, certificates of executive officers of the Company who have specific knowledge of the Company’s financial matters and are satisfactory to the Representative (i) confirming that such officers have carefully reviewed the Registration Statement, the Pricing Disclosure Package, and the Final Prospectus, and the representations set forth in Sections 1(a)(ii), 1(b), 1(c)(i), 1(d)(i), 1(e)(i), and 1(i) hereof are true and correct on and as of the Closing Date or any Additional Closing Date, as the case may be; (ii) to the effect set forth in Sections 1(l) and 7(a) hereof; and (iii) confirming that all of the other representations and warranties of the Company in this Agreement are true and correct on and as of the Closing Date or any Additional Closing Date, as the case may be, and that the Company has complied with all agreements and covenants and satisfied all other conditions on its part to be performed or satisfied hereunder at or prior to the Closing Date or any Additional Closing Date, as the case may be.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Legal Impediment to Issuance and Sale</w:t>
      </w:r>
      <w:r>
        <w:rPr>
          <w:rFonts w:ascii="Times New Roman;Times;Serif" w:hAnsi="Times New Roman;Times;Serif"/>
          <w:b w:val="false"/>
          <w:i w:val="false"/>
          <w:caps w:val="false"/>
          <w:smallCaps w:val="false"/>
          <w:sz w:val="20"/>
        </w:rPr>
        <w:t>. No action shall have been taken and no statute, rule, regulation or order shall have been enacted, adopted or issued by any federal, state or foreign governmental or regulatory authority that would, as of the Closing Date or any Additional Closing Date, as the case may be, prevent the issuance, sale or delivery of the Firm Shares or the Option Shares by the Company; and no injunction or order of any federal, state or foreign court shall have been issued that would, as of the Closing Date or any Additional Closing Date, as the case may be, prevent the issuance, sale or delivery of the Firm Shares or the Option Shares.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Good Standing</w:t>
      </w:r>
      <w:r>
        <w:rPr>
          <w:rFonts w:ascii="Times New Roman;Times;Serif" w:hAnsi="Times New Roman;Times;Serif"/>
          <w:b w:val="false"/>
          <w:i w:val="false"/>
          <w:caps w:val="false"/>
          <w:smallCaps w:val="false"/>
          <w:sz w:val="20"/>
        </w:rPr>
        <w:t>. The Representative shall have received on and as of the Closing Date and any Additional Closing Date, as the case may be, satisfactory evidence of the good standing of the Company and each of the Company’s subsidiaries in their respective jurisdictions of organization and their good standing in such other jurisdictions as the Representative may reasonably request, in each case, in writing from the appropriate governmental authorities of such jurisdictions.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Lock-Up Agreements executed by the officers, directors and holders of 5% or more of the Company’s outstanding Common Stock (all of whom the Company represents are listed on Schedule III hereto) and delivered to the Representative on or before the date hereof, shall be in full force and effect on the Closing Date or any Additional Closing Date, as the case may be.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Exchange Listing</w:t>
      </w:r>
      <w:r>
        <w:rPr>
          <w:rFonts w:ascii="Times New Roman;Times;Serif" w:hAnsi="Times New Roman;Times;Serif"/>
          <w:b w:val="false"/>
          <w:i w:val="false"/>
          <w:caps w:val="false"/>
          <w:smallCaps w:val="false"/>
          <w:sz w:val="20"/>
        </w:rPr>
        <w:t>. On the Closing Date or any Additional Closing Date, as the case may be, the Shares shall have been approved for listing on the Exchange, subject to notice of issuance.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On or prior to the Closing Date or any Additional Closing Date, as the case may be, the Underwriters and their counsel shall have received such information, certificates and other additional documents from the Company as they may reasonably require for the purpose of enabling them to pass upon the issuance and sale of the Shares as contemplated herein or in order to evidence the accuracy of any of the representations and warranties, or the satisfaction of any of the covenants, closing conditions or other obligations, contained in this Agreement.</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29</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certificates and other documents delivered pursuant to this Agreement will be deemed to be in compliance with the provisions hereof only if they are reasonably satisfactory in form and substance to counsel for the Underwriters.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7 is not satisfied when and as required to be satisfied, this Agreement and all obligations of the Underwriters hereunder may be terminated by the Representative by notice to the Company at any time on or prior to the Closing Date or any Additional Closing Date, as the case may be, which termination shall be without liability on the part of any party to any other party, except that the Company shall continue to be liable for the payment of expenses under Section 6 and Section 11 hereof and except that the provisions of Section 8 and Section 9 hereof shall at all times be effective and shall survive any such termination.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8.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of the Underwriters by the Company</w:t>
      </w:r>
      <w:r>
        <w:rPr>
          <w:rFonts w:ascii="Times New Roman;Times;Serif" w:hAnsi="Times New Roman;Times;Serif"/>
          <w:b w:val="false"/>
          <w:i w:val="false"/>
          <w:caps w:val="false"/>
          <w:smallCaps w:val="false"/>
          <w:sz w:val="20"/>
        </w:rPr>
        <w:t>. The Company agrees to indemnify and hold harmless each Underwriter, its Affiliates, directors and officers, and each person, if any, who controls any Underwriter within the meaning of Section 15 of the Securities Act or Section 20 of the Exchange Act from and against any and all losses, claims, damages and liabilities (including, without limitation, any and all documented and reasonably incurred legal fees and other expenses incurred in connection with defending or investigating any suit, action or proceeding or any claim asserted, as such fees and expenses are incurred), joint or several, that arise out of or are based upon (i) any untrue statement or alleged untrue statement of a material fact contained in the Registration Statement (or any amendment or supplement thereto), or the omission or alleged omission therefrom of a material fact required to be stated therein or necessary in order to make the statements therein not misleading, or (ii) any untrue statement or alleged untrue statement of a material fact contained in any Pricing Disclosure Package (including any Pricing Disclosure Package that has subsequently been amended), the Final Prospectus (or any amendment or supplement thereto), any Preliminary Prospectus, or any road show, or the omission or alleged omission therefrom of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the Underwriter Information. The indemnity agreement set forth in this Section 8(a) shall be in addition to any liabilities that the Company may otherwise have.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30</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of the Company by the Underwriters</w:t>
      </w:r>
      <w:r>
        <w:rPr>
          <w:rFonts w:ascii="Times New Roman;Times;Serif" w:hAnsi="Times New Roman;Times;Serif"/>
          <w:b w:val="false"/>
          <w:i w:val="false"/>
          <w:caps w:val="false"/>
          <w:smallCaps w:val="false"/>
          <w:sz w:val="20"/>
        </w:rPr>
        <w:t xml:space="preserve">. Each Underwriter agrees, severally and not jointly, to indemnify and hold harmless the Company, its directors, each officer who signed the Registration Statement and each person, if any, who controls the Company within the meaning of either Section 15 of the Securities Act or Section 20 of the Exchange Act from and against any and all losses, claims, damages and liabilities (including, without limitation, all documented and reasonably incurred legal fees and other expenses incurred in connection with any suit, action or proceeding or any claim asserted, as such fees and expenses are incurred), joint or several, to the same extent as the indemnity set forth in Section 8(a)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each Underwriter shall be liable only to the extent that any untrue statement or omission or alleged untrue statement or omission was made in the Registration Statement (or any amendment or supplement thereto), any Pricing Disclosure Package (including any Pricing Disclosure Package that has subsequently been amended), the Final Prospectus (or any amendment or supplement thereto), any Preliminary Prospectus, or any road show in reliance upon, and in conformity with, the Underwriter Information relating to such Underwriter, it being understood and agreed upon that the only such Underwriter Information furnished by any Underwriter consists of the following information furnished on behalf of each Underwriter: the names of the Underwriters and the information under the captions “Price Stabilization, Short Positions and Penalty Bids” and “Electronic Distribution.” The indemnity agreement set forth in this Section 8(b) shall be in addition to any liabilities that each Underwriter may otherwise have.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Notifications and Other Indemnification Procedures</w:t>
      </w:r>
      <w:r>
        <w:rPr>
          <w:rFonts w:ascii="Times New Roman;Times;Serif" w:hAnsi="Times New Roman;Times;Serif"/>
          <w:b w:val="false"/>
          <w:i w:val="false"/>
          <w:caps w:val="false"/>
          <w:smallCaps w:val="false"/>
          <w:sz w:val="20"/>
        </w:rPr>
        <w:t>. If any suit, action, proceeding (including any governmental or regulatory investigation), claim or demand shall be brought or asserted against any person in respect of which indemnification may be sought pursuant to any of the preceding subsections of this Section 8, such person (the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shall promptly notify the person against whom such indemnification may be sought (the “</w:t>
      </w:r>
      <w:r>
        <w:rPr>
          <w:rFonts w:ascii="Times New Roman;Times;Serif" w:hAnsi="Times New Roman;Times;Serif"/>
          <w:b/>
          <w:i w:val="false"/>
          <w:caps w:val="false"/>
          <w:smallCaps w:val="false"/>
          <w:sz w:val="20"/>
        </w:rPr>
        <w:t>Indemnifying Person</w:t>
      </w:r>
      <w:r>
        <w:rPr>
          <w:rFonts w:ascii="Times New Roman;Times;Serif" w:hAnsi="Times New Roman;Times;Serif"/>
          <w:b w:val="false"/>
          <w:i w:val="false"/>
          <w:caps w:val="false"/>
          <w:smallCaps w:val="false"/>
          <w:sz w:val="20"/>
        </w:rPr>
        <w:t xml:space="preserve">”)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any of the preceding subsections of this Section 8 except to the extent that it has been materially prejudiced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the failure to notify the Indemnifying Person shall not relieve it from any liability that it may have to an Indemnified Person otherwise than under any of the preceding subsections of this Section 8.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fees and expenses shall be paid or reimbursed as they are incurred. Any such separate firm for (i) any Underwriter, its Affiliates, directors, officers, employees and agents and each person, if any, who controls such Underwriter within the meaning of Section 15 of the Securities Act or Section 20 of the Exchange Act shall be designated in writing by the Representative; and (ii) the Company, its directors, its officers who signed the Registration Statement and each person, if any, who controls the Company within the meaning of Section 15 of the Securities Act or Section 20 of the Exchange Act shall be designated in writing by the Company.</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Settlements</w:t>
      </w:r>
      <w:r>
        <w:rPr>
          <w:rFonts w:ascii="Times New Roman;Times;Serif" w:hAnsi="Times New Roman;Times;Serif"/>
          <w:b w:val="false"/>
          <w:i w:val="false"/>
          <w:caps w:val="false"/>
          <w:smallCaps w:val="false"/>
          <w:sz w:val="20"/>
        </w:rPr>
        <w:t>. The Indemnifying Person under this Section 8 shall not be liable for any settlement of any proceeding effected without its written consent, which consent may not be unreasonably withheld, but if settled with such consent or if there be a final judgment for the plaintiff, the Indemnifying Person agrees to indemnify the Indemnified Person from and against any loss, claim, damage, liability or expense by reason of such settlement or judgment. Notwithstanding the foregoing sentence, if at any time an Indemnified Person shall have requested an Indemnifying Person to reimburse the Indemnified Person for any reasonably incurred and documented fees and expenses of counsel as contemplated by this Section 8, the Indemnifying Person agrees that it shall be liable for any settlement of any proceeding effected without its written consent if (i) such settlement is entered into more than 45 days after receipt by such Indemnifying Person of the aforesaid request, (ii) such Indemnifying Person shall not have reimbursed the Indemnified Person in accordance with such request, or shall not have disputed in good faith the Indemnified Person’s entitlement to such reimbursement, prior to the date of such settlement and (iii) such Indemnified Person shall have given the Indemnifying Person at least 30 days’ prior notice of its intention to settle. No Indemnifying Person shall, without the prior written consent of the Indemnified Person, which consent may not be unreasonably withheld, effect any settlement, compromise or consent to the entry of judgment in any pending or threatened action, suit or proceeding in respect of which any Indemnified Person is or could have been a party and indemnity was or could have been sought hereunder by such Indemnified Person, unless such settlement, compromise or consent (x) includes an unconditional release of such Indemnified Person, in form and substance reasonably satisfactory to such Indemnified Person, from and against all liability on claims that are the subject matter of such action, suit or proceeding and (y) does not include any statements as to or any admission of fault, culpability or failure to act by or on behalf of any Indemnified Person.</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31</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9. Contribution</w:t>
      </w:r>
      <w:r>
        <w:rPr>
          <w:rFonts w:ascii="Times New Roman;Times;Serif" w:hAnsi="Times New Roman;Times;Serif"/>
          <w:b w:val="false"/>
          <w:i w:val="false"/>
          <w:caps w:val="false"/>
          <w:smallCaps w:val="false"/>
          <w:sz w:val="20"/>
        </w:rPr>
        <w:t>. To the extent the indemnification provided for in Section 8 hereof is unavailable to or insufficient to hold harmless an Indemnified Person in respect of any losses, claims, damages, liabilities or expenses referred to therein, then each Indemnifying Person, in lieu of indemnifying such Indemnified Person thereunder, shall contribute to the aggregate amount paid or payable by such Indemnified Person, as incurred, as a result of any losses, claims, damages, liabilities or expenses referred to therein (i) in such proportion as is appropriate to reflect the relative benefits received by the Company, on the one hand, and the Underwriters,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that resulted in such losses, claims, damages, liabilities or expenses, as well as any other relevant equitable considerations. The relative benefits received by the Company, on the one hand, and the Underwriters,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on the one hand, and the total underwriting discounts and commissions received by the Underwriters on the other hand, in each case as set forth in the table on the cover of the Final Prospectus bear to the aggregate initial offering price of the Shares. The relative fault of the Company, on the one hand, and the Underwriters, on the other hand, shall be determined by reference to, among other things, whether the untrue or alleged untrue statement of a material fact or omission or alleged omission to state a material fact relates to information supplied by the Company, on the one hand, or the Underwriters , on the other hand, and the parties’ relative intent, knowledge, access to information and opportunity to correct or prevent such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or payable by a party as a result of the losses, claims, damages, liabilities and expenses referred to above shall be deemed to include, subject to the limitations set forth in Section 8 hereof, all reasonable legal or other fees or expenses incurred by/all documented and reasonably incurred legal or other fees or expenses of such party in connection with investigating or defending any action or claim. The provisions set forth in Section 8 hereof with respect to notice of commencement of any action shall apply if a claim for contribution is to be made under this Section 9;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no additional notice shall be required with respect to any action for which notice has been given under Section 8 hereof for purposes of indemnification.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9, no Underwriter shall be required to contribute any amount in excess of the amount by which the total underwriting discounts and commissions received by such Underwriter in connection with the Shares distributed by it exceeds the amount of any damages such Underwriter has otherwise paid or become liable to pay by reason of any untrue or alleged untrue statement or omission or alleged omission. No person guilty of fraudulent misrepresentation (within the meaning of Section 11 of the Securities Act) shall be entitled to contribution from any person who was not guilty of such fraudulent misrepresentation. The Underwriters’ obligations to contribute pursuant to this Section 9 are several, and not joint, in proportion to their respective commitments as set forth opposite their names in Schedule I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32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9, each director, and officer, of the Underwriter and each person, if any, who controls the Underwriter within the meaning of Section 15 of the Securities Act or Section 20 of the Exchange Act shall have the same rights to contribution as the Underwriter, and each director and officer of the Company who signed the Registration Statement, and each person, if any, who controls the Company with the meaning of Section 15 of the Securities Act or Section 20 of the Exchange Act, shall have the same rights to contribution as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remedies provided for in Section 8 and Section 9 hereof are not exclusive and shall not limit any rights or remedies which may otherwise be available to any Indemnified Person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10. Termination</w:t>
      </w:r>
      <w:r>
        <w:rPr>
          <w:rFonts w:ascii="Times New Roman;Times;Serif" w:hAnsi="Times New Roman;Times;Serif"/>
          <w:b w:val="false"/>
          <w:i w:val="false"/>
          <w:caps w:val="false"/>
          <w:smallCaps w:val="false"/>
          <w:sz w:val="20"/>
        </w:rPr>
        <w:t>. Prior to the delivery of and payment for the Shares on the Closing Date or any Additional Closing Date, as the case may be, this Agreement may be terminated by the Representative by notice given to the Company if after the execution and delivery of this Agreement: (i) trading or quotation of any securities issued or guaranteed by the Company shall have been suspended or materially limited on any securities exchange, quotation system or in the over-the-counter market; (ii) trading in securities generally on any of the New York Stock Exchange, or the over-the-counter market shall have been suspended or materially limited; (iii) a general banking moratorium on commercial banking activities shall have been declared by federal or New York state authorities; (iv) there shall have occurred a material disruption in commercial banking or securities settlement, payment or clearance services in the United States; (v) there shall have occurred any outbreak or escalation of national or international hostilities or any crisis or calamity, or any change in the United States or international financial markets, or any substantial change or development involving a prospective substantial change in general economic, financial or political conditions in the United States or internationally, as in the judgment of the Representative is material and adverse and makes it impracticable or inadvisable to proceed with the offering, sale or delivery of the Shares on the Closing Date or any Additional Closing Date, as the case may be, in the manner and on the terms described in the Pricing Disclosure Package or to enforce contracts for the sale of securities; or (vi) the Company or any of its subsidiaries shall have sustained a loss by strike, fire, flood, earthquake, accident or other calamity of such character as in the judgment of the Representative may interfere materially with the conduct of the business and operations of the Company and its subsidiaries, considered as one entity, regardless of whether or not such loss shall have been insured.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pursuant to this Section 10 shall be without liability on the part of: (x) the Company to the Underwriters, except that the Company shall continue to be liable for the payment of expenses under Section 6 hereof; (y) any Underwriter to the Company; or (z) any party hereto to any other party except that the provisions of Section 8 and Section 9 hereof shall at all times be effective and shall survive any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33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11. Reimbursement of the Underwriters’ Expenses</w:t>
      </w:r>
      <w:r>
        <w:rPr>
          <w:rFonts w:ascii="Times New Roman;Times;Serif" w:hAnsi="Times New Roman;Times;Serif"/>
          <w:b w:val="false"/>
          <w:i w:val="false"/>
          <w:caps w:val="false"/>
          <w:smallCaps w:val="false"/>
          <w:sz w:val="20"/>
        </w:rPr>
        <w:t>. If (a) the Company fails to deliver the Shares to the Underwriters for any reason at the Closing Date or any Additional Closing Date, as the case may be, in accordance with this Agreement or (b) the Underwriters declines to purchase the Shares for any reason permitted under this Agreement, then the Company agrees to reimburse the Underwriters for all reasonable out-of-pocket costs and expenses (including the reasonable and documented fees and expenses of counsel to the Underwriters) incurred by the Underwriters in connection with this Agreement and the applicable offering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12. Representations and Indemnities to Survive Delivery</w:t>
      </w:r>
      <w:r>
        <w:rPr>
          <w:rFonts w:ascii="Times New Roman;Times;Serif" w:hAnsi="Times New Roman;Times;Serif"/>
          <w:b w:val="false"/>
          <w:i w:val="false"/>
          <w:caps w:val="false"/>
          <w:smallCaps w:val="false"/>
          <w:sz w:val="20"/>
        </w:rPr>
        <w:t>. The respective indemnities, rights of contribution, agreements, representations, warranties and other statements of the Company and the several Underwriters set forth in or made pursuant to this Agreement or made by or on behalf of the Company or the Underwriters pursuant to this Agreement or any certificate delivered pursuant hereto shall remain in full force and effect, regardless of any investigation made by or on behalf of any Underwriter, the Company or any of their respective officers or directors or any controlling person, as the case may be, and shall survive delivery of and payment for the Shares sold hereunder and any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13. Defaulting Underwriters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Closing Date or any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24 hours after any such default by any Underwriter, the non-defaulting Underwriters do not arrange for the purchase of such Shares, then the Company shall be entitled to a further period of 24 hours within which to arrange for other persons satisfactory to the non-defaulting Underwriters to purchase such Shares on such terms. If, pursuant to the preceding two sentences, other persons become obligated or agree to purchase the Shares of a defaulting Underwriter, either the non-defaulting Underwriters or the Company may postpone the Closing Date or any Additional Closing Date, as the case may be, for up to five days in order to effect any changes that in the opinion of counsel for the Company or counsel for the Underwriters may be necessary in the Registration Statement, Pricing Disclosure Package, the Final Prospectus or in any other document or arrangement, and the Company agrees to promptly prepare any amendment or supplement to the Registration Statement, Pricing Disclosure Package or the Final Prospectus necessary to effect any such changes. As used in this Agreement, the term “Underwriter” includes, for all purposes of this Agreement unless the context otherwise requires, any person not listed in Schedule I hereto that, pursuant to this Section (a), purchases Shares that a defaulting Underwriter agreed but failed to purchase.</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34</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after giving effect to any arrangements for the purchase of the Shares of a defaulting Underwriter or Underwriters as provided in Section 13(a) hereof, the aggregate number of such Shares that remains unpurchased on the Closing Date or any Additional Closing Date, as the case may be, does not exceed 10% of the aggregate number of all the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hereunder on such date) of the Shares of such defaulting Underwriter or Underwriters for which such arrangements have not been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number of Shares that any Underwriter has agreed to purchase on such date pursuant to this Agreement be increased pursuant to this Section (a) by an amount in excess of 11% of such principal amount without the written consent of such Underwriter.</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Shares of a defaulting Underwriter or Underwriters as provided in Section 13(a) hereof, the aggregate number of such Shares that remains unpurchased on the Closing Date or any Additional Closing Date, as the case may be, exceeds 10% of the aggregate of all the Shares to be purchased on such date, or if the Company shall not exercise the right described in Section 13(b) hereof, then this Agreement, or, with respect to any Additional Closing Date, the obligation of the Underwriters to purchase Shares on such Additional Closing Date, shall terminate without liability on the part of the non-defaulting Underwriters, provided, however, that if such default occurs with respect to the Option Shares, this Agreement will not terminate as to the Firm Shares Any termination of this Agreement pursuant to this Section 13(c) shall be without liability on the part of the Company, except that the Company shall continue to be liable for the payment of expenses under Section 6 and Section 11 hereof and except that the provisions of Section 8 and Section 9 hereof shall at all times be effective and shall survive any such termination.</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relieve a defaulting Underwriter of any liability it may have to the Company or any non-defaulting Underwriter for damages caused by its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consents, claims, demands, waivers and other communications under this Agreement shall be in writing and shall be deemed to have been duly given (i) when delivered by hand (with written confirmation of receipt), (ii) when received by the addressee if sent by a nationally recognized overnight courier (receipt requested), (iii) on the date sent by facsimile (with confirmation of transmission) or email of a PDF document if sent during normal business hours of the recipient, and on the next Business day if sent after normal business hours of the recipient, or (iv) on the third day after the date mailed, by certified or registered mail (in each case, return receipt requested, postage pre-paid). Such communications must be sent to the respective parties at the following addresses (or at such other address for a party as shall be specified in a notice given in accordance with this Section 14):</w:t>
      </w:r>
    </w:p>
    <w:p>
      <w:pPr>
        <w:pStyle w:val="TextBody"/>
        <w:bidi w:val="0"/>
        <w:spacing w:before="0" w:after="0"/>
        <w:ind w:left="0" w:right="0" w:firstLine="72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2135"/>
        <w:gridCol w:w="4685"/>
      </w:tblGrid>
      <w:tr>
        <w:trPr/>
        <w:tc>
          <w:tcPr>
            <w:tcW w:w="2135" w:type="dxa"/>
            <w:tcBorders/>
            <w:vAlign w:val="center"/>
          </w:tcPr>
          <w:p>
            <w:pPr>
              <w:pStyle w:val="TableContents"/>
              <w:bidi w:val="0"/>
              <w:spacing w:before="0" w:after="283"/>
              <w:jc w:val="left"/>
              <w:rPr/>
            </w:pPr>
            <w:r>
              <w:rPr/>
              <w:t>If to the Underwriters:</w:t>
            </w:r>
          </w:p>
        </w:tc>
        <w:tc>
          <w:tcPr>
            <w:tcW w:w="4685" w:type="dxa"/>
            <w:tcBorders/>
            <w:vAlign w:val="center"/>
          </w:tcPr>
          <w:p>
            <w:pPr>
              <w:pStyle w:val="TableContents"/>
              <w:bidi w:val="0"/>
              <w:jc w:val="left"/>
              <w:rPr/>
            </w:pPr>
            <w:r>
              <w:rPr/>
              <w:t>Aegis Capital Corp.</w:t>
              <w:br/>
              <w:t>810 7th Avenue,</w:t>
            </w:r>
          </w:p>
          <w:p>
            <w:pPr>
              <w:pStyle w:val="TableContents"/>
              <w:bidi w:val="0"/>
              <w:jc w:val="left"/>
              <w:rPr/>
            </w:pPr>
            <w:r>
              <w:rPr/>
              <w:t>18th Floor</w:t>
            </w:r>
          </w:p>
          <w:p>
            <w:pPr>
              <w:pStyle w:val="TableContents"/>
              <w:bidi w:val="0"/>
              <w:jc w:val="left"/>
              <w:rPr/>
            </w:pPr>
            <w:r>
              <w:rPr/>
              <w:t>New York, NY 10019</w:t>
            </w:r>
          </w:p>
          <w:p>
            <w:pPr>
              <w:pStyle w:val="TableContents"/>
              <w:bidi w:val="0"/>
              <w:spacing w:before="0" w:after="283"/>
              <w:jc w:val="left"/>
              <w:rPr/>
            </w:pPr>
            <w:r>
              <w:rPr/>
              <w:t>Email Address: reide@aegiscap.com</w:t>
              <w:br/>
              <w:t>Attention: Robert Eide  </w:t>
            </w:r>
          </w:p>
        </w:tc>
      </w:tr>
      <w:tr>
        <w:trPr/>
        <w:tc>
          <w:tcPr>
            <w:tcW w:w="213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both"/>
              <w:rPr>
                <w:sz w:val="20"/>
              </w:rPr>
            </w:pPr>
            <w:r>
              <w:rPr>
                <w:sz w:val="20"/>
              </w:rPr>
              <w:t>with a copy to:</w:t>
            </w:r>
          </w:p>
        </w:tc>
        <w:tc>
          <w:tcPr>
            <w:tcW w:w="4685" w:type="dxa"/>
            <w:tcBorders/>
            <w:vAlign w:val="center"/>
          </w:tcPr>
          <w:p>
            <w:pPr>
              <w:pStyle w:val="TableContents"/>
              <w:bidi w:val="0"/>
              <w:spacing w:before="0" w:after="283"/>
              <w:jc w:val="left"/>
              <w:rPr/>
            </w:pPr>
            <w:r>
              <w:rPr/>
              <w:t>Sichenzia Ross Ference Carmel LLP</w:t>
              <w:br/>
              <w:t>1185 Avenue of the Americas, 31st Floor</w:t>
              <w:br/>
              <w:t>New York, NY 10036</w:t>
              <w:br/>
              <w:t>Email Address: bdipaolo@srfc.law</w:t>
              <w:br/>
              <w:t>Attention: Barrett DiPaolo, Esq.  </w:t>
            </w:r>
          </w:p>
        </w:tc>
      </w:tr>
      <w:tr>
        <w:trPr/>
        <w:tc>
          <w:tcPr>
            <w:tcW w:w="2135" w:type="dxa"/>
            <w:tcBorders/>
            <w:vAlign w:val="center"/>
          </w:tcPr>
          <w:p>
            <w:pPr>
              <w:pStyle w:val="TableContents"/>
              <w:bidi w:val="0"/>
              <w:spacing w:before="0" w:after="283"/>
              <w:jc w:val="both"/>
              <w:rPr/>
            </w:pPr>
            <w:r>
              <w:rPr/>
              <w:t> </w:t>
            </w:r>
          </w:p>
        </w:tc>
        <w:tc>
          <w:tcPr>
            <w:tcW w:w="468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both"/>
              <w:rPr>
                <w:sz w:val="20"/>
              </w:rPr>
            </w:pPr>
            <w:r>
              <w:rPr>
                <w:sz w:val="20"/>
              </w:rPr>
              <w:t>If to the Company:</w:t>
            </w:r>
          </w:p>
        </w:tc>
        <w:tc>
          <w:tcPr>
            <w:tcW w:w="4685" w:type="dxa"/>
            <w:tcBorders/>
            <w:vAlign w:val="center"/>
          </w:tcPr>
          <w:p>
            <w:pPr>
              <w:pStyle w:val="TableContents"/>
              <w:bidi w:val="0"/>
              <w:spacing w:before="0" w:after="283"/>
              <w:jc w:val="left"/>
              <w:rPr/>
            </w:pPr>
            <w:r>
              <w:rPr/>
              <w:t xml:space="preserve">Serve Robotics Inc. </w:t>
              <w:br/>
              <w:t xml:space="preserve">730 Broadway </w:t>
              <w:br/>
              <w:t xml:space="preserve">Redwood City, CA 94063 </w:t>
              <w:br/>
              <w:t xml:space="preserve">Email Address: Ali@serverobotics.com </w:t>
              <w:br/>
              <w:t>Attention: Ali Kashani, Chief Executive Officer  </w:t>
            </w:r>
          </w:p>
        </w:tc>
      </w:tr>
      <w:tr>
        <w:trPr/>
        <w:tc>
          <w:tcPr>
            <w:tcW w:w="2135" w:type="dxa"/>
            <w:tcBorders/>
            <w:vAlign w:val="center"/>
          </w:tcPr>
          <w:p>
            <w:pPr>
              <w:pStyle w:val="TableContents"/>
              <w:bidi w:val="0"/>
              <w:spacing w:before="0" w:after="283"/>
              <w:jc w:val="both"/>
              <w:rPr/>
            </w:pPr>
            <w:r>
              <w:rPr/>
              <w:t> </w:t>
            </w:r>
          </w:p>
        </w:tc>
        <w:tc>
          <w:tcPr>
            <w:tcW w:w="468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both"/>
              <w:rPr>
                <w:sz w:val="20"/>
              </w:rPr>
            </w:pPr>
            <w:r>
              <w:rPr>
                <w:sz w:val="20"/>
              </w:rPr>
              <w:t>with a copy to:</w:t>
            </w:r>
          </w:p>
        </w:tc>
        <w:tc>
          <w:tcPr>
            <w:tcW w:w="4685" w:type="dxa"/>
            <w:tcBorders/>
            <w:vAlign w:val="center"/>
          </w:tcPr>
          <w:p>
            <w:pPr>
              <w:pStyle w:val="TableContents"/>
              <w:bidi w:val="0"/>
              <w:spacing w:before="0" w:after="283"/>
              <w:jc w:val="left"/>
              <w:rPr/>
            </w:pPr>
            <w:r>
              <w:rPr/>
              <w:t xml:space="preserve">Orrick, Herrington &amp; Sutcliffe LLP </w:t>
              <w:br/>
              <w:t xml:space="preserve">222 Berkeley St., Suite 2000 </w:t>
              <w:br/>
              <w:t>Boston, MA 02116</w:t>
              <w:br/>
              <w:t>Email Address: avanderlaan@orrick.com</w:t>
              <w:br/>
              <w:t>Attention: Albert Vanderlaan, Esq.</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or facsimile number for receipt of communications by giving written notice to the others in accordance with this Section. 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shall inure solely to the benefit of and be binding upon the Underwriters, the Company and the other indemnified parties referred to in Section 8 and Section 9 hereof, and in each case their respective successors. Nothing in this Agreement is intended, or shall be construed, to give any other person or entity any legal or equitable right, benefit, remedy or claim under, or in respect of or by virtue of, this Agreement or any provision contained herein. The term “successors,” as used herein, shall not include any purchaser of the Shares from any Underwriter merely by reason of such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Authority of the Representative</w:t>
      </w:r>
      <w:r>
        <w:rPr>
          <w:rFonts w:ascii="Times New Roman;Times;Serif" w:hAnsi="Times New Roman;Times;Serif"/>
          <w:b w:val="false"/>
          <w:i w:val="false"/>
          <w:caps w:val="false"/>
          <w:smallCaps w:val="false"/>
          <w:sz w:val="20"/>
        </w:rPr>
        <w:t>. Any action by the Underwriters hereunder may be taken by the Representative on behalf of the Underwriters, and any such action taken by the Representative shall be binding upon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 controversy or dispute arising under or related to this Agreement, whether sounding in contract, tort or statute, shall be governed by and construed in accordance with the internal laws of the State of New York applicable to agreements made and to be performed in such state (including its statute of limitations), without giving effect to the conflict of laws provisions thereof to the extent such principles or rules would require or permit the application of the laws of any jurisdiction other than those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No legal suit, action or proceeding arising out of or relating to this Agreement or the transactions contemplated hereby (each, a “</w:t>
      </w:r>
      <w:r>
        <w:rPr>
          <w:rFonts w:ascii="Times New Roman;Times;Serif" w:hAnsi="Times New Roman;Times;Serif"/>
          <w:b/>
          <w:i w:val="false"/>
          <w:caps w:val="false"/>
          <w:smallCaps w:val="false"/>
          <w:sz w:val="20"/>
        </w:rPr>
        <w:t>Related Proceeding</w:t>
      </w:r>
      <w:r>
        <w:rPr>
          <w:rFonts w:ascii="Times New Roman;Times;Serif" w:hAnsi="Times New Roman;Times;Serif"/>
          <w:b w:val="false"/>
          <w:i w:val="false"/>
          <w:caps w:val="false"/>
          <w:smallCaps w:val="false"/>
          <w:sz w:val="20"/>
        </w:rPr>
        <w:t>”) may be commenced, prosecuted or continued in any court other than the courts of the State of New York located in the City and County of New York or in the United States District Court for the Southern District of New York, which courts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shall have jurisdiction over the adjudication of any Related Proceeding, and the parties to this Agreement hereby irrevocably consent to the exclusive jurisdiction the Specified Courts and personal service of process with respect thereto. The parties to this Agreement hereby irrevocably waive any objection to the laying of venue of any Related Proceeding in the Specified Courts and irrevocably waive and agree not to plead or claim in any Specified Court that any Related Proceeding brought in any Specified Court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parties to this Agreement hereby irrevocably waive, to the fullest extent permitted by applicable law, any and all right to trial by jury in any Related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The Company acknowledges and agrees that: (i) the purchase and sale of the Shares pursuant to this Agreement, including the determination of the offering price of the Shares and any related discounts and commissions, is an arm’s-length commercial transaction between the Company, on the one hand, and the several Underwriters, on the other hand; (ii) in connection with each transaction contemplated hereby and the process leading to such transaction each Underwriter is and has been acting solely as a principal and is not the agent or fiduciary of the Company or its Affiliates, stockholders, members, partners, creditors or employees or any other party; (iii) no Underwriter has assumed or will assume an advisory or fiduciary responsibility in favor of the Company with respect to any of the transactions contemplated hereby or the process leading thereto (irrespective of whether such Underwriter has advised or is currently advising the Company on other matters) or any other obligation to the Company except the obligations expressly set forth in this Agreement; (iv) the several Underwriters and their respective Affiliates may be engaged in a broad range of transactions that involve interests that differ from those of the Company, and the several Underwriters have no obligation to disclose any of such interests by virtue of any fiduciary or advisory relationship; and (v) the Underwriters have not provided any legal, accounting, regulatory or tax advice in any jurisdiction with respect to the offering contemplated hereby, and the Company has consulted its own legal, accounting, regulatory and tax advisors to the extent they deemed appropriate. The Company waives and releases, to the full extent permitted by applicable law, any claims it may have against the Underwriters arising from an alleged breach of fiduciary duty in connection with the offering of the Shares or any matters leading up to the offering of the Shares. The Company further acknowledges and agrees that, although the Underwriters may provide the Company with certain Regulation Best Interest and Form CRS disclosures or other related documentation in connection with the offering, the Underwriters are not making a recommendation to the Company to participate in the offering or sell any Shares at the Purchase Price, and nothing set forth in such disclosures or documentation is intended to suggest that any Underwriter is making such a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Compliance with the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its clients, as well as other information that will allow the Underwriters to properly identify their respective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any contemporaneous written agreements and any prior written agreements (to the extent not superseded by this Agreement) that relate to the offering of the Shares, represents the entire agreement among the Company and the Underwriters with respect to the preparation of the Registration Statement, the Pricing Disclosure Package, the Final Prospectus, each Preliminary Prospectus and each road show, the purchase and sale of the Shares and the conduct of the offering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Amendments or Waivers</w:t>
      </w:r>
      <w:r>
        <w:rPr>
          <w:rFonts w:ascii="Times New Roman;Times;Serif" w:hAnsi="Times New Roman;Times;Serif"/>
          <w:b w:val="false"/>
          <w:i w:val="false"/>
          <w:caps w:val="false"/>
          <w:smallCaps w:val="false"/>
          <w:sz w:val="20"/>
        </w:rPr>
        <w:t>. No amendment or waiver of any provision of this Agreement, nor any consent or approval to any departure therefrom, shall in any event be effective unless the same shall be in writing and signed by all the parties hereto. No waiver by any party shall operate or be construed as a waiver in respect of any failure, breach or default not expressly identified by such written waiver, whether of a similar or different character, and whether occurring before or after the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of any other right, remedy,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Section Headings</w:t>
      </w:r>
      <w:r>
        <w:rPr>
          <w:rFonts w:ascii="Times New Roman;Times;Serif" w:hAnsi="Times New Roman;Times;Serif"/>
          <w:b w:val="false"/>
          <w:i w:val="false"/>
          <w:caps w:val="false"/>
          <w:smallCaps w:val="false"/>
          <w:sz w:val="20"/>
        </w:rPr>
        <w:t>. The headings herein are included for convenience of reference only and are not intended to be part of, or to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shall be deemed an original and all of which together shall be deemed to be one and the same agreement. Counterparts may be delivered via email (including PDF or any electronic signature complying with the U.S. federal ESIGN Act of 2000) or other transmission method, and any counterpart so delivered will be deemed to have been duly and validly delivered and be valid and effective for all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the Underwriter is a Covered Entity (as defined below)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(as defined below) if this Agreement, and any such interest and obligation, were governed by the laws of the United States or a state of the United States.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center"/>
        <w:rPr>
          <w:bdr w:val="single" w:sz="12" w:space="1" w:color="000000"/>
        </w:rPr>
      </w:pPr>
      <w:r>
        <w:rPr>
          <w:bdr w:val="single" w:sz="12" w:space="1" w:color="000000"/>
        </w:rPr>
        <w:t>38</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the Underwriter is a Covered Entity or a BHC Act Affiliate (as defined below) of the Underwriter becomes subject to a proceeding under a U.S. Special Resolution Regime, Default Rights (as defined below) under this Agreement that may be exercised against the Underwriter is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6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section:</w:t>
      </w:r>
    </w:p>
    <w:p>
      <w:pPr>
        <w:pStyle w:val="TextBody"/>
        <w:bidi w:val="0"/>
        <w:spacing w:before="0" w:after="0"/>
        <w:ind w:left="1620" w:right="0" w:firstLine="720"/>
        <w:jc w:val="both"/>
        <w:rPr>
          <w:caps w:val="false"/>
          <w:smallCaps w:val="false"/>
        </w:rPr>
      </w:pPr>
      <w:r>
        <w:rPr>
          <w:caps w:val="false"/>
          <w:smallCaps w:val="false"/>
        </w:rPr>
        <w:t> </w:t>
      </w:r>
    </w:p>
    <w:p>
      <w:pPr>
        <w:pStyle w:val="TextBody"/>
        <w:bidi w:val="0"/>
        <w:spacing w:before="0" w:after="0"/>
        <w:ind w:left="1276"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1276" w:right="0" w:hanging="0"/>
        <w:jc w:val="both"/>
        <w:rPr>
          <w:caps w:val="false"/>
          <w:smallCaps w:val="false"/>
        </w:rPr>
      </w:pPr>
      <w:r>
        <w:rPr>
          <w:caps w:val="false"/>
          <w:smallCaps w:val="false"/>
        </w:rPr>
        <w:t> </w:t>
      </w:r>
    </w:p>
    <w:p>
      <w:pPr>
        <w:pStyle w:val="TextBody"/>
        <w:bidi w:val="0"/>
        <w:spacing w:before="0" w:after="0"/>
        <w:ind w:left="1276"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276"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1276" w:right="0" w:hanging="0"/>
        <w:jc w:val="both"/>
        <w:rPr>
          <w:caps w:val="false"/>
          <w:smallCaps w:val="false"/>
        </w:rPr>
      </w:pPr>
      <w:r>
        <w:rPr>
          <w:caps w:val="false"/>
          <w:smallCaps w:val="false"/>
        </w:rPr>
        <w:t> </w:t>
      </w:r>
    </w:p>
    <w:p>
      <w:pPr>
        <w:pStyle w:val="TextBody"/>
        <w:bidi w:val="0"/>
        <w:spacing w:before="0" w:after="0"/>
        <w:ind w:left="1276"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 follows]</w:t>
      </w:r>
    </w:p>
    <w:p>
      <w:pPr>
        <w:pStyle w:val="TextBody"/>
        <w:bidi w:val="0"/>
        <w:spacing w:before="0" w:after="0"/>
        <w:ind w:left="0" w:right="0" w:hanging="0"/>
        <w:jc w:val="center"/>
        <w:rPr>
          <w:caps/>
        </w:rPr>
      </w:pPr>
      <w:r>
        <w:rPr>
          <w:caps/>
        </w:rPr>
        <w:t> </w:t>
      </w:r>
    </w:p>
    <w:p>
      <w:pPr>
        <w:pStyle w:val="TextBody"/>
        <w:bidi w:val="0"/>
        <w:spacing w:before="0" w:after="0"/>
        <w:jc w:val="center"/>
        <w:rPr>
          <w:bdr w:val="single" w:sz="12" w:space="1" w:color="000000"/>
        </w:rPr>
      </w:pPr>
      <w:r>
        <w:rPr>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710"/>
        <w:gridCol w:w="230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xml:space="preserve">Very truly yours, </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SERVE ROBOTICS INC.</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Ali Kashani</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Acting on behalf of itself and as a Representative of the several Underwriters</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Robert Eide</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40</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p>
      <w:pPr>
        <w:pStyle w:val="TextBody"/>
        <w:bidi w:val="0"/>
        <w:spacing w:before="0" w:after="0"/>
        <w:ind w:left="0" w:right="0" w:hanging="0"/>
        <w:jc w:val="center"/>
        <w:rPr>
          <w:caps w:val="false"/>
          <w:smallCaps w:val="false"/>
        </w:rPr>
      </w:pPr>
      <w:r>
        <w:rPr>
          <w:caps w:val="false"/>
          <w:smallCaps w:val="false"/>
        </w:rPr>
        <w:t> </w:t>
      </w:r>
    </w:p>
    <w:tbl>
      <w:tblPr>
        <w:tblW w:w="6285" w:type="dxa"/>
        <w:jc w:val="left"/>
        <w:tblInd w:w="0" w:type="dxa"/>
        <w:tblLayout w:type="fixed"/>
        <w:tblCellMar>
          <w:top w:w="0" w:type="dxa"/>
          <w:left w:w="0" w:type="dxa"/>
          <w:bottom w:w="28" w:type="dxa"/>
          <w:right w:w="0" w:type="dxa"/>
        </w:tblCellMar>
      </w:tblPr>
      <w:tblGrid>
        <w:gridCol w:w="1640"/>
        <w:gridCol w:w="60"/>
        <w:gridCol w:w="2225"/>
        <w:gridCol w:w="60"/>
        <w:gridCol w:w="2300"/>
      </w:tblGrid>
      <w:tr>
        <w:trPr/>
        <w:tc>
          <w:tcPr>
            <w:tcW w:w="1640" w:type="dxa"/>
            <w:tcBorders>
              <w:bottom w:val="single" w:sz="12"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2225" w:type="dxa"/>
            <w:tcBorders>
              <w:bottom w:val="single" w:sz="12" w:space="0" w:color="000000"/>
            </w:tcBorders>
            <w:vAlign w:val="center"/>
          </w:tcPr>
          <w:p>
            <w:pPr>
              <w:pStyle w:val="TableContents"/>
              <w:bidi w:val="0"/>
              <w:spacing w:before="0" w:after="283"/>
              <w:jc w:val="left"/>
              <w:rPr>
                <w:b/>
                <w:sz w:val="20"/>
              </w:rPr>
            </w:pPr>
            <w:r>
              <w:rPr>
                <w:b/>
                <w:sz w:val="20"/>
              </w:rPr>
              <w:t>Number of Firm Shares to</w:t>
              <w:br/>
              <w:t>Be Purchased</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left"/>
              <w:rPr>
                <w:b/>
                <w:sz w:val="20"/>
              </w:rPr>
            </w:pPr>
            <w:r>
              <w:rPr>
                <w:b/>
                <w:sz w:val="20"/>
              </w:rPr>
              <w:t>Number of Option Shares</w:t>
              <w:br/>
              <w:t>to Be Purchased if the</w:t>
              <w:br/>
              <w:t>Maximum Over-Allotment</w:t>
              <w:br/>
              <w:t>Option Is Exercised</w:t>
            </w:r>
          </w:p>
        </w:tc>
      </w:tr>
      <w:tr>
        <w:trPr/>
        <w:tc>
          <w:tcPr>
            <w:tcW w:w="1640" w:type="dxa"/>
            <w:tcBorders/>
            <w:tcMar>
              <w:bottom w:w="0" w:type="dxa"/>
            </w:tcMar>
            <w:vAlign w:val="center"/>
          </w:tcPr>
          <w:p>
            <w:pPr>
              <w:pStyle w:val="TableContents"/>
              <w:bidi w:val="0"/>
              <w:spacing w:before="0" w:after="283"/>
              <w:jc w:val="left"/>
              <w:rPr>
                <w:sz w:val="20"/>
              </w:rPr>
            </w:pPr>
            <w:r>
              <w:rPr>
                <w:sz w:val="20"/>
              </w:rPr>
              <w:t>Aegis Capital Corp.</w:t>
            </w:r>
          </w:p>
        </w:tc>
        <w:tc>
          <w:tcPr>
            <w:tcW w:w="60" w:type="dxa"/>
            <w:tcBorders/>
            <w:tcMar>
              <w:bottom w:w="0" w:type="dxa"/>
            </w:tcMar>
            <w:vAlign w:val="center"/>
          </w:tcPr>
          <w:p>
            <w:pPr>
              <w:pStyle w:val="TableContents"/>
              <w:bidi w:val="0"/>
              <w:spacing w:before="0" w:after="283"/>
              <w:jc w:val="left"/>
              <w:rPr/>
            </w:pPr>
            <w:r>
              <w:rPr/>
              <w:t> </w:t>
            </w:r>
          </w:p>
        </w:tc>
        <w:tc>
          <w:tcPr>
            <w:tcW w:w="2225" w:type="dxa"/>
            <w:tcBorders/>
            <w:tcMar>
              <w:bottom w:w="0" w:type="dxa"/>
            </w:tcMar>
            <w:vAlign w:val="center"/>
          </w:tcPr>
          <w:p>
            <w:pPr>
              <w:pStyle w:val="TableContents"/>
              <w:bidi w:val="0"/>
              <w:spacing w:before="0" w:after="283"/>
              <w:jc w:val="right"/>
              <w:rPr>
                <w:sz w:val="20"/>
              </w:rPr>
            </w:pPr>
            <w:r>
              <w:rPr>
                <w:sz w:val="20"/>
              </w:rPr>
              <w:t>[_____]</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right"/>
              <w:rPr>
                <w:sz w:val="20"/>
              </w:rPr>
            </w:pPr>
            <w:r>
              <w:rPr>
                <w:sz w:val="20"/>
              </w:rPr>
              <w:t>[_____]</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righ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righ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righ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5" w:type="dxa"/>
            <w:tcBorders>
              <w:bottom w:val="single" w:sz="12" w:space="0" w:color="000000"/>
            </w:tcBorders>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right"/>
              <w:rPr/>
            </w:pPr>
            <w:r>
              <w:rPr/>
              <w:t> </w:t>
            </w:r>
          </w:p>
        </w:tc>
      </w:tr>
      <w:tr>
        <w:trPr/>
        <w:tc>
          <w:tcPr>
            <w:tcW w:w="1640" w:type="dxa"/>
            <w:tcBorders/>
            <w:tcMar>
              <w:bottom w:w="0" w:type="dxa"/>
            </w:tcMar>
            <w:vAlign w:val="center"/>
          </w:tcPr>
          <w:p>
            <w:pPr>
              <w:pStyle w:val="TableContents"/>
              <w:bidi w:val="0"/>
              <w:spacing w:before="0" w:after="283"/>
              <w:jc w:val="left"/>
              <w:rPr>
                <w:b/>
                <w:sz w:val="20"/>
              </w:rPr>
            </w:pPr>
            <w:r>
              <w:rPr>
                <w:b/>
                <w:sz w:val="20"/>
              </w:rPr>
              <w:t>Total:</w:t>
            </w:r>
          </w:p>
        </w:tc>
        <w:tc>
          <w:tcPr>
            <w:tcW w:w="60" w:type="dxa"/>
            <w:tcBorders/>
            <w:tcMar>
              <w:bottom w:w="0" w:type="dxa"/>
            </w:tcMar>
            <w:vAlign w:val="center"/>
          </w:tcPr>
          <w:p>
            <w:pPr>
              <w:pStyle w:val="TableContents"/>
              <w:bidi w:val="0"/>
              <w:spacing w:before="0" w:after="283"/>
              <w:jc w:val="left"/>
              <w:rPr/>
            </w:pPr>
            <w:r>
              <w:rPr/>
              <w:t> </w:t>
            </w:r>
          </w:p>
        </w:tc>
        <w:tc>
          <w:tcPr>
            <w:tcW w:w="2225" w:type="dxa"/>
            <w:tcBorders/>
            <w:tcMar>
              <w:bottom w:w="0" w:type="dxa"/>
            </w:tcMar>
            <w:vAlign w:val="center"/>
          </w:tcPr>
          <w:p>
            <w:pPr>
              <w:pStyle w:val="TableContents"/>
              <w:bidi w:val="0"/>
              <w:spacing w:before="0" w:after="283"/>
              <w:jc w:val="right"/>
              <w:rPr>
                <w:sz w:val="20"/>
              </w:rPr>
            </w:pPr>
            <w:r>
              <w:rPr>
                <w:sz w:val="20"/>
              </w:rPr>
              <w:t>[_____]</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right"/>
              <w:rPr>
                <w:sz w:val="20"/>
              </w:rPr>
            </w:pPr>
            <w:r>
              <w:rPr>
                <w:sz w:val="20"/>
              </w:rPr>
              <w:t>[_____]</w:t>
            </w:r>
          </w:p>
        </w:tc>
      </w:tr>
    </w:tbl>
    <w:p>
      <w:pPr>
        <w:pStyle w:val="TextBody"/>
        <w:bidi w:val="0"/>
        <w:spacing w:before="0" w:after="0"/>
        <w:ind w:left="0" w:right="0" w:hanging="0"/>
        <w:jc w:val="center"/>
        <w:rPr>
          <w:caps/>
        </w:rPr>
      </w:pPr>
      <w:r>
        <w:rPr>
          <w:caps/>
        </w:rPr>
        <w:t> </w:t>
      </w:r>
    </w:p>
    <w:p>
      <w:pPr>
        <w:pStyle w:val="TextBody"/>
        <w:bidi w:val="0"/>
        <w:spacing w:before="0" w:after="0"/>
        <w:jc w:val="center"/>
        <w:rPr>
          <w:bdr w:val="single" w:sz="12" w:space="1" w:color="000000"/>
        </w:rPr>
      </w:pPr>
      <w:r>
        <w:rPr>
          <w:bdr w:val="single" w:sz="12" w:space="1" w:color="000000"/>
        </w:rPr>
        <w:t>41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Disclosure Package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Lock-Up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5760" w:right="0" w:hanging="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April____,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Aegis Capital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7th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Aegis Capital Corp. (the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proposes to enter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Serve Robotics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providing for the public offering (the “</w:t>
      </w:r>
      <w:r>
        <w:rPr>
          <w:rFonts w:ascii="Times New Roman;Times;Serif" w:hAnsi="Times New Roman;Times;Serif"/>
          <w:b/>
          <w:i w:val="false"/>
          <w:caps w:val="false"/>
          <w:smallCaps w:val="false"/>
          <w:sz w:val="20"/>
        </w:rPr>
        <w:t>Public Offering</w:t>
      </w:r>
      <w:r>
        <w:rPr>
          <w:rFonts w:ascii="Times New Roman;Times;Serif" w:hAnsi="Times New Roman;Times;Serif"/>
          <w:b w:val="false"/>
          <w:i w:val="false"/>
          <w:caps w:val="false"/>
          <w:smallCaps w:val="false"/>
          <w:sz w:val="20"/>
        </w:rPr>
        <w:t>”) of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common stock, par value $0.0001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Capitalized terms used herein and not otherwise defined shall have the meanings set forth in the Underwriting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Underwriter to continue its efforts in connection with the Public Offering, the undersigned hereby agrees that, without the prior written consent of the Underwriter, the undersigned will not, during the period commencing on the date hereof and ending at the close of business one hundred eighty (180) days after the closing date of the Public Offering (such period,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(1) offer, pledge, sell, contract to sell, grant, lend, or otherwise transfer or dispose of, directly or indirectly, any Common Stock or any securities convertible into or exercisable or exchangeable for Common Stock, whether now owned or hereafter acquired by the undersigned or with respect to which the undersigned has or hereafter acquires the power of disposition (collectively, the “</w:t>
      </w:r>
      <w:r>
        <w:rPr>
          <w:rFonts w:ascii="Times New Roman;Times;Serif" w:hAnsi="Times New Roman;Times;Serif"/>
          <w:b/>
          <w:i w:val="false"/>
          <w:caps w:val="false"/>
          <w:smallCaps w:val="false"/>
          <w:sz w:val="20"/>
        </w:rPr>
        <w:t>Lock-Up Securities</w:t>
      </w:r>
      <w:r>
        <w:rPr>
          <w:rFonts w:ascii="Times New Roman;Times;Serif" w:hAnsi="Times New Roman;Times;Serif"/>
          <w:b w:val="false"/>
          <w:i w:val="false"/>
          <w:caps w:val="false"/>
          <w:smallCaps w:val="false"/>
          <w:sz w:val="20"/>
        </w:rPr>
        <w:t>”); (2) enter into any swap or other arrangement that transfers to another,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make any offer, sale, pledge or disposition, or to enter into any transaction, swap, hedge or other arrangement relating to any Lock-Up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Lock-Up Securities without the prior written consent of the Underwriter in connection with:</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transactions relating to Lock-Up Securities in open market transactions after the completion of the Public Offering; </w:t>
            </w:r>
            <w:r>
              <w:rPr>
                <w:u w:val="single"/>
              </w:rPr>
              <w:t>provided</w:t>
            </w:r>
            <w:r>
              <w:rPr/>
              <w:t> that no filing under Section 13 or Section 16(a) of the Securities Exchange Act of 1934, as amended (the “</w:t>
            </w:r>
            <w:r>
              <w:rPr>
                <w:b/>
              </w:rPr>
              <w:t>Exchange Act</w:t>
            </w:r>
            <w:r>
              <w:rPr/>
              <w:t>”), or other public announcement shall be required or shall be voluntarily made in connection with subsequent sales of Lock-Up Securities in such open market transactions;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transfers of Lock-Up Securities as a </w:t>
            </w:r>
            <w:r>
              <w:rPr>
                <w:i/>
              </w:rPr>
              <w:t>bona fide </w:t>
            </w:r>
            <w:r>
              <w:rPr/>
              <w:t>gift, by will, other testamentary document or intestacy or to a beneficiary, family member, trust or other estate planning entity for the direct or indirect benefit of the undersigned or family members (for purposes of this lock-up agreement, “family member” means any relationship by blood, domestic partnership, marriage or adoption, not more remote than first cousin);</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09"/>
        <w:gridCol w:w="9740"/>
      </w:tblGrid>
      <w:tr>
        <w:trPr/>
        <w:tc>
          <w:tcPr>
            <w:tcW w:w="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(c)</w:t>
            </w:r>
          </w:p>
        </w:tc>
        <w:tc>
          <w:tcPr>
            <w:tcW w:w="9740" w:type="dxa"/>
            <w:tcBorders/>
            <w:vAlign w:val="center"/>
          </w:tcPr>
          <w:p>
            <w:pPr>
              <w:pStyle w:val="TableContents"/>
              <w:bidi w:val="0"/>
              <w:spacing w:before="0" w:after="283"/>
              <w:jc w:val="both"/>
              <w:rPr/>
            </w:pPr>
            <w:r>
              <w:rPr/>
              <w:t>transfers of Lock-Up Securities to a charity or educational institution;</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both"/>
              <w:rPr/>
            </w:pPr>
            <w:r>
              <w:rPr/>
              <w:t>if the undersigned is a corporation, partnership, limited liability company, trust or other business entity, (i) any transfers of Lock-Up Securities to another corporation, partnership, investment fund or other business entity that controls, is controlled by or is under common control with the undersigned or (ii) distributions of Lock-Up Securities to managers, members, general or limited partners, stockholders, subsidiaries or affiliates (as defined in Rule 405 promulgated under the Securities Act of 1933, as amended) of the undersigned;</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31"/>
        <w:gridCol w:w="9715"/>
      </w:tblGrid>
      <w:tr>
        <w:trPr/>
        <w:tc>
          <w:tcPr>
            <w:tcW w:w="5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pPr>
            <w:r>
              <w:rPr/>
              <w:t>(e)</w:t>
            </w:r>
          </w:p>
        </w:tc>
        <w:tc>
          <w:tcPr>
            <w:tcW w:w="9715" w:type="dxa"/>
            <w:tcBorders/>
            <w:vAlign w:val="center"/>
          </w:tcPr>
          <w:p>
            <w:pPr>
              <w:pStyle w:val="TableContents"/>
              <w:bidi w:val="0"/>
              <w:spacing w:before="0" w:after="283"/>
              <w:jc w:val="both"/>
              <w:rPr/>
            </w:pPr>
            <w:r>
              <w:rPr/>
              <w:t>if the undersigned is a trust, to a trustee or beneficiary of the trust </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case of any transfer pursuant to the foregoing clauses (b), (c), (d) or (e), (i) any such transfer shall not involve a disposition for value, (ii) each transferee shall sign and deliver to the Underwriter a lock-up agreement substantially in the form of this lock-up agreement, and (iii) no filing under Section 13 or Section 16(a) of the Exchange Act or other public announcement shall be required or shall be voluntarily made during the Lock-Up Period);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(f)</w:t>
            </w:r>
          </w:p>
        </w:tc>
        <w:tc>
          <w:tcPr>
            <w:tcW w:w="9994" w:type="dxa"/>
            <w:tcBorders/>
            <w:vAlign w:val="center"/>
          </w:tcPr>
          <w:p>
            <w:pPr>
              <w:pStyle w:val="TableContents"/>
              <w:bidi w:val="0"/>
              <w:spacing w:before="0" w:after="283"/>
              <w:jc w:val="both"/>
              <w:rPr/>
            </w:pPr>
            <w:r>
              <w:rPr/>
              <w:t>the receipt by the undersigned from the Company of Common Stock upon the vesting of restricted stock awards or stock units or upon the exercise of options to purchase the Company’s Common Stock issued under an equity incentive plan of the Company or an employment arrangement described in the Pricing Prospectus (as defined in the Underwriting Agreement) (the “</w:t>
            </w:r>
            <w:r>
              <w:rPr>
                <w:b/>
              </w:rPr>
              <w:t>Plan Shares</w:t>
            </w:r>
            <w:r>
              <w:rPr/>
              <w:t>”) or the transfer or withholding of Common Stock or any securities convertible into Common Stock to the Company upon a vesting event of the Company’s securities or upon the exercise of options to purchase the Company’s securities, in each case on a “cashless” or “net exercise” basis or to cover tax obligations of the undersigned in connection with such vesting or exercise, </w:t>
            </w:r>
            <w:r>
              <w:rPr>
                <w:u w:val="single"/>
              </w:rPr>
              <w:t>provided</w:t>
            </w:r>
            <w:r>
              <w:rPr/>
              <w:t> that if the undersigned is required to file a report under Section 16(a) of the Exchange Act reporting a reduction in beneficial ownership of Common Stock during the Lock-Up Period, the undersigned shall include a statement in such schedule or report to the effect that the purpose of such transfer was to cover tax withholding obligations of the undersigned in connection with such vesting or exercise and, </w:t>
            </w:r>
            <w:r>
              <w:rPr>
                <w:u w:val="single"/>
              </w:rPr>
              <w:t>provided further</w:t>
            </w:r>
            <w:r>
              <w:rPr/>
              <w:t>, that the Plan Shares shall be subject to the terms of this lock-up agreement;</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bdr w:val="single" w:sz="12" w:space="1" w:color="000000"/>
        </w:rPr>
      </w:pPr>
      <w:r>
        <w:rPr>
          <w:bdr w:val="single" w:sz="12" w:space="1" w:color="000000"/>
        </w:rPr>
        <w:t>46</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(g)</w:t>
            </w:r>
          </w:p>
        </w:tc>
        <w:tc>
          <w:tcPr>
            <w:tcW w:w="9942" w:type="dxa"/>
            <w:tcBorders/>
            <w:vAlign w:val="center"/>
          </w:tcPr>
          <w:p>
            <w:pPr>
              <w:pStyle w:val="TableContents"/>
              <w:bidi w:val="0"/>
              <w:spacing w:before="0" w:after="283"/>
              <w:jc w:val="both"/>
              <w:rPr/>
            </w:pPr>
            <w:r>
              <w:rPr/>
              <w:t>the transfer of Lock-Up Securities pursuant to agreements described in the Pricing Prospectus under which the Company has the option to repurchase such securities or a right of first refusal with respect to the transfer of such securities, </w:t>
            </w:r>
            <w:r>
              <w:rPr>
                <w:u w:val="single"/>
              </w:rPr>
              <w:t>provided</w:t>
            </w:r>
            <w:r>
              <w:rPr/>
              <w:t> that if the undersigned is required to file a report under Section 13 or Section 16(a) of the Exchange Act reporting a reduction in beneficial ownership of Common Stock during the Lock-Up Period, the undersigned shall include a statement in such schedule or report describing the purpose of the transaction;</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(h)</w:t>
            </w:r>
          </w:p>
        </w:tc>
        <w:tc>
          <w:tcPr>
            <w:tcW w:w="9944" w:type="dxa"/>
            <w:tcBorders/>
            <w:vAlign w:val="center"/>
          </w:tcPr>
          <w:p>
            <w:pPr>
              <w:pStyle w:val="TableContents"/>
              <w:bidi w:val="0"/>
              <w:spacing w:before="0" w:after="283"/>
              <w:jc w:val="both"/>
              <w:rPr/>
            </w:pPr>
            <w:r>
              <w:rPr/>
              <w:t>the establishment or amendment of a trading plan pursuant to Rule 10b5-1 under the Exchange Act for the transfer of Lock-Up Securities, </w:t>
            </w:r>
            <w:r>
              <w:rPr>
                <w:u w:val="single"/>
              </w:rPr>
              <w:t>provided</w:t>
            </w:r>
            <w:r>
              <w:rPr/>
              <w:t> that (i) such plan does not provide for the transfer of Lock-Up Securities during the Lock-Up Period and (ii) to the extent a public announcement or filing under the Exchange Act, if any, is required of or voluntarily made by or on behalf of the undersigned or the Company regarding the establishment of such plan, such public announcement or filing shall include a statement to the effect that no transfer of Lock-Up Securities may be made under such plan during the Lock-Up Period;</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the transfer of Lock-Up Securities that occurs by operation of law, such as pursuant to a qualified domestic order or in connection with a divorce settlement, </w:t>
            </w:r>
            <w:r>
              <w:rPr>
                <w:u w:val="single"/>
              </w:rPr>
              <w:t>provided</w:t>
            </w:r>
            <w:r>
              <w:rPr/>
              <w:t> that the transferee agrees to sign and deliver a lock-up agreement substantially in the form of this lock-up agreement for the balance of the Lock-Up Period, and </w:t>
            </w:r>
            <w:r>
              <w:rPr>
                <w:u w:val="single"/>
              </w:rPr>
              <w:t>provided further</w:t>
            </w:r>
            <w:r>
              <w:rPr/>
              <w:t>, that any filing under Section 13 or Section 16(a) of the Exchange Act that is required to be made during the Lock-Up Period as a result of such transfer shall include a statement that such transfer has occurred by operation of law;</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(j)</w:t>
            </w:r>
          </w:p>
        </w:tc>
        <w:tc>
          <w:tcPr>
            <w:tcW w:w="10007" w:type="dxa"/>
            <w:tcBorders/>
            <w:vAlign w:val="center"/>
          </w:tcPr>
          <w:p>
            <w:pPr>
              <w:pStyle w:val="TableContents"/>
              <w:bidi w:val="0"/>
              <w:spacing w:before="0" w:after="283"/>
              <w:jc w:val="both"/>
              <w:rPr/>
            </w:pPr>
            <w:r>
              <w:rPr/>
              <w:t>the transfer of Lock-Up Securities pursuant to a bona fide third-party tender offer, merger, consolidation or other similar transaction made to all holders of the Common Stock involving a change of control (as defined below) of the Company after the closing of the Public Offering and approved by the Company’s board of directors; </w:t>
            </w:r>
            <w:r>
              <w:rPr>
                <w:u w:val="single"/>
              </w:rPr>
              <w:t>provided</w:t>
            </w:r>
            <w:r>
              <w:rPr/>
              <w:t> that in the event that the tender offer, merger, consolidation or other such transaction is not completed, the Lock-Up Securities owned by the undersigned shall remain subject to the restrictions contained in this lock-up agreement; f or purposes of this clause (j), “change of control” shall mean the consummation of any bona fide third party tender offer, merger, amalgamation, consolidation or other similar transaction the result of which is that any “person” (as defined in Section 13(d)(3) of the Exchange Act), or group of persons, becomes the beneficial owner (as defined in Rules 13d-3 and 13d- 5 of the Exchange Act) of a majority of total voting power of the voting stock of the Company; and</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bdr w:val="single" w:sz="12" w:space="1" w:color="000000"/>
        </w:rPr>
      </w:pPr>
      <w:r>
        <w:rPr>
          <w:bdr w:val="single" w:sz="12" w:space="1" w:color="000000"/>
        </w:rPr>
        <w:t>47</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(k)</w:t>
            </w:r>
          </w:p>
        </w:tc>
        <w:tc>
          <w:tcPr>
            <w:tcW w:w="9929" w:type="dxa"/>
            <w:tcBorders/>
            <w:vAlign w:val="center"/>
          </w:tcPr>
          <w:p>
            <w:pPr>
              <w:pStyle w:val="TableContents"/>
              <w:bidi w:val="0"/>
              <w:spacing w:before="0" w:after="283"/>
              <w:jc w:val="both"/>
              <w:rPr/>
            </w:pPr>
            <w:r>
              <w:rPr/>
              <w:t xml:space="preserve">the conversion of the Company’s outstanding convertible notes into shares of Common Stock as described in the final prospectus relating to the Public Offering, </w:t>
            </w:r>
            <w:r>
              <w:rPr>
                <w:u w:val="single"/>
              </w:rPr>
              <w:t>provided</w:t>
            </w:r>
            <w:r>
              <w:rPr/>
              <w:t xml:space="preserve"> that, in each case, such Lock-Up Securities continue to be subject to the restrictions on transfer set forth in this lock-up agreement.</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the undersigned’s Lock-Up Securities except in compliance with this 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an officer or director of the Company, (i) the undersigned agrees that the foregoing restrictions shall be equally applicable to any issuer-directed or “friends and family” securities that the undersigned may purchase in the Public Offering; (ii) the Underwriter agrees that, at least three (3) Business days before the effective date of any release or waiver of the foregoing restrictions in connection with a transfer of Lock-Up Securities, the Underwriter will notify the Company of the impending release or waiver; and (iii) the Company has agreed in the Underwriting Agreement to announce the impending release or waiver by press release through a major news service at least two (2) Business days before the effective date of the release or waiver. Any release or waiver granted by the Underwriter hereunder to any such officer or director shall only be effective two (2) Business days after the publication date of such press release. The provisions of this paragraph will not apply if (a) the release or waiver is effected solely to permit a transfer of Lock-Up Securities not for consideration and (b) the transferee has agreed in writing to be bound by the same terms described in this lock-up agreement to the extent and for the duration that such terms remain in effect at the time of such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and the Underwriter are relying upon this lock-up agreement in proceeding toward consummation of the Public Offering. The undersigned further understands that this lock-up agreement is irrevocable and shall be binding upon the undersigned’s heirs, legal representative,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Underwriting Agreement is not executed by April 30, 2024, or if the Underwriting Agreement (other than the provisions thereof which survive termination) shall terminate or be terminated prior to payment for and delivery of the Shares to be sold thereunder, then this lock-up agreement shall be void and of no further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and any claim, controversy or dispute arising under or related to this lock-up agreement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firstLine="71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Public Offering actually occurs depends on a number of factors, including market conditions. Any Public Offering will only be made pursuant to an Underwriting Agreement, the terms of which are subject to negotiation between the Company and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69" w:type="dxa"/>
        <w:jc w:val="left"/>
        <w:tblInd w:w="0" w:type="dxa"/>
        <w:tblLayout w:type="fixed"/>
        <w:tblCellMar>
          <w:top w:w="0" w:type="dxa"/>
          <w:left w:w="0" w:type="dxa"/>
          <w:bottom w:w="0" w:type="dxa"/>
          <w:right w:w="0" w:type="dxa"/>
        </w:tblCellMar>
      </w:tblPr>
      <w:tblGrid>
        <w:gridCol w:w="195"/>
        <w:gridCol w:w="4946"/>
        <w:gridCol w:w="428"/>
      </w:tblGrid>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Very truly yours,</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 Please Print)</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Signatory, in the case of entities - Please Print)</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of Signatory, in the case of entities - Please Print)</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49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Address:</w:t>
            </w:r>
          </w:p>
        </w:tc>
        <w:tc>
          <w:tcPr>
            <w:tcW w:w="42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4946" w:type="dxa"/>
            <w:tcBorders/>
            <w:vAlign w:val="center"/>
          </w:tcPr>
          <w:p>
            <w:pPr>
              <w:pStyle w:val="TableContents"/>
              <w:bidi w:val="0"/>
              <w:spacing w:before="0" w:after="283"/>
              <w:jc w:val="left"/>
              <w:rPr/>
            </w:pPr>
            <w:r>
              <w:rPr/>
              <w:t> </w:t>
            </w:r>
          </w:p>
        </w:tc>
        <w:tc>
          <w:tcPr>
            <w:tcW w:w="428"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49</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Representative’s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THIS PURCHASE WARRANT BY ITS ACCEPTANCE HEREOF, AGREES THAT IT WILL NOT SELL, TRANSFER OR ASSIGN THIS PURCHASE WARRANT EXCEPT AS HEREIN PROVIDED AND THE REGISTERED HOLDER OF THIS PURCHASE WARRANT AGREES THAT IT WILL NOT SELL, TRANSFER, ASSIGN, PLEDGE OR HYPOTHECATE THIS PURCHASE WARRANT FOR A PERIOD OF ONE HUNDRED EIGHTY DAYS FOLLOWING [●], 2024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TO ANYONE OTHER THAN (I) AEGIS CAPITAL CORP. OR A SELECTED DEALER IN CONNECTION WITH THE OFFERING FOR WHICH THIS PURCHASE WARRANT WAS ISSUED TO THE UNDERWRITER AS CONSIDERATION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OR (II) A BONA FIDE OFFICER OR PARTNER OF AEGIS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PURCHASE WARRANT IS NOT EXERCISABLE PRIOR TO [●], 2024</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VOID AFTER 5:00 P.M., EASTERN TIME, [●],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Common Stock Purchase Warrant</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For the Purchase of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Shares of Common Stock</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of</w:t>
      </w:r>
    </w:p>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SERVE ROBOTICS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Warrant</w:t>
      </w:r>
      <w:r>
        <w:rPr>
          <w:rFonts w:ascii="Times New Roman;Times;Serif" w:hAnsi="Times New Roman;Times;Serif"/>
          <w:b w:val="false"/>
          <w:i w:val="false"/>
          <w:caps w:val="false"/>
          <w:smallCaps w:val="false"/>
          <w:sz w:val="20"/>
        </w:rPr>
        <w:t>. THIS CERTIFIES THAT, in consideration of funds duly paid by or on behalf of Aegis Capital Corp.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registered owner of this warrant to purchase shares of Common Stock (as defined below (the “</w:t>
      </w:r>
      <w:r>
        <w:rPr>
          <w:rFonts w:ascii="Times New Roman;Times;Serif" w:hAnsi="Times New Roman;Times;Serif"/>
          <w:b/>
          <w:i/>
          <w:caps w:val="false"/>
          <w:smallCaps w:val="false"/>
          <w:sz w:val="20"/>
        </w:rPr>
        <w:t>Purchase Warrant”</w:t>
      </w:r>
      <w:r>
        <w:rPr>
          <w:rFonts w:ascii="Times New Roman;Times;Serif" w:hAnsi="Times New Roman;Times;Serif"/>
          <w:b w:val="false"/>
          <w:i w:val="false"/>
          <w:caps w:val="false"/>
          <w:smallCaps w:val="false"/>
          <w:sz w:val="20"/>
        </w:rPr>
        <w:t>), to Serve Robotics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the Holder is entitled, at any time or from time to time beginning [●], 2024</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Commencement Date”</w:t>
      </w:r>
      <w:r>
        <w:rPr>
          <w:rFonts w:ascii="Times New Roman;Times;Serif" w:hAnsi="Times New Roman;Times;Serif"/>
          <w:b w:val="false"/>
          <w:i w:val="false"/>
          <w:caps w:val="false"/>
          <w:smallCaps w:val="false"/>
          <w:sz w:val="20"/>
        </w:rPr>
        <w:t>), and at or before 5:00 p.m., Eastern time, on [●], 2029</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but not thereafter, to subscribe for, purchase and receive, in whole or in part, up to [●]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common stock of the Company,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subject to adjustment as provided in Section 6 hereof. If the Expiration Date is not a Business Day, then this Purchase Warrant may be exercised on the next succeeding Business Day. During the period ending on the Expiration Date, the Company agrees not to take any action that would terminate this Purchase Warrant. This Purchase Warrant is initially exercisable at $[●]</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per Share;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upon the occurrence of any of the events specified in Section 6 hereof, the rights granted by this Purchase Warrant, including the exercise price per Share and the number of Shares to be received upon such exercise, shall be adjusted as therein specified. The term “</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xml:space="preserve"> shall mean the initial exercise price or the adjusted exercise price, depending on the context, and the term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shall mean a day other than a Saturday, Sunday or any other day which is a federal legal holiday in the United States or any day on which the Federal Reserve Bank of New York is authorized or required by law or other governmental action to close, provided that the Federal Reserve Bank of New York shall not be deemed to be authorized or obligated to be closed due to a “shelter in place,” “non-essential employee” or similar closure of physical location at the direction of any governmental authority if the bank’s electronic funds transfer systems (including for wire transfers) are open for use by customers on such day.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INSERT DATE 180 DAYS AFTER EFFECTIVE DATE.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INSERT DATE 5 YEARS AFTER EFFECTIVE DATE.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4 </w:t>
      </w:r>
      <w:r>
        <w:rPr>
          <w:rFonts w:ascii="Times New Roman;Times;Serif" w:hAnsi="Times New Roman;Times;Serif"/>
          <w:b w:val="false"/>
          <w:i w:val="false"/>
          <w:caps w:val="false"/>
          <w:smallCaps w:val="false"/>
          <w:sz w:val="20"/>
        </w:rPr>
        <w:t>INSERT 125% of PUBLIC OFFERING PRICE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Exercise Form</w:t>
      </w:r>
      <w:r>
        <w:rPr>
          <w:rFonts w:ascii="Times New Roman;Times;Serif" w:hAnsi="Times New Roman;Times;Serif"/>
          <w:b w:val="false"/>
          <w:i w:val="false"/>
          <w:caps w:val="false"/>
          <w:smallCaps w:val="false"/>
          <w:sz w:val="20"/>
        </w:rPr>
        <w:t>. In order to exercise this Purchase Warrant, the exercise form attached hereto must be duly executed and completed and delivered to the Company, together with this Purchase Warrant and, subject to Section 2.2, payment of the Exercise Price for the Shares being purchased payable in cash by wire transfer of immediately available funds to an account designated by the Company or by certified check or official bank check. If the subscription rights represented hereby shall not be exercised at or before 5:00 p.m., Eastern time, on the Expiration Date, this Purchase Warrant shall become and be void without further force or effect, and all rights represented hereby shall cease and expire. Each exercise hereof shall be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of this Purchase Warrant by the Holder, there is no effective registration statement registering the Shares underlying the Purchase Warrant, then, solely with respect to such exercise in lieu of exercising this Purchase Warrant by payment of cash or check payable to the order of the Company pursuant to Section 2.1 above, Holder may elect to receive the number of Shares equal to the value of this Purchase Warrant (or the portion thereof being exercised), by surrender of this Purchase Warrant to the Company, together with the exercise form attached hereto, in which event the Company will issue to Holder Shares in accordance with the following formula:</w:t>
      </w:r>
    </w:p>
    <w:p>
      <w:pPr>
        <w:pStyle w:val="TextBody"/>
        <w:bidi w:val="0"/>
        <w:spacing w:before="0" w:after="0"/>
        <w:ind w:left="0" w:right="0" w:firstLine="720"/>
        <w:jc w:val="both"/>
        <w:rPr>
          <w:caps w:val="false"/>
          <w:smallCaps w:val="false"/>
        </w:rPr>
      </w:pPr>
      <w:r>
        <w:rPr>
          <w:caps w:val="false"/>
          <w:smallCaps w:val="false"/>
        </w:rPr>
        <w:t> </w:t>
      </w:r>
    </w:p>
    <w:tbl>
      <w:tblPr>
        <w:tblW w:w="1155" w:type="dxa"/>
        <w:jc w:val="center"/>
        <w:tblInd w:w="0" w:type="dxa"/>
        <w:tblLayout w:type="fixed"/>
        <w:tblCellMar>
          <w:top w:w="0" w:type="dxa"/>
          <w:left w:w="0" w:type="dxa"/>
          <w:bottom w:w="0" w:type="dxa"/>
          <w:right w:w="0" w:type="dxa"/>
        </w:tblCellMar>
      </w:tblPr>
      <w:tblGrid>
        <w:gridCol w:w="215"/>
        <w:gridCol w:w="155"/>
        <w:gridCol w:w="785"/>
      </w:tblGrid>
      <w:tr>
        <w:trPr/>
        <w:tc>
          <w:tcPr>
            <w:tcW w:w="21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7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Y(A-B)</w:t>
            </w:r>
          </w:p>
        </w:tc>
      </w:tr>
      <w:tr>
        <w:trPr/>
        <w:tc>
          <w:tcPr>
            <w:tcW w:w="21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w:t>
            </w:r>
          </w:p>
        </w:tc>
      </w:tr>
    </w:tbl>
    <w:p>
      <w:pPr>
        <w:pStyle w:val="TextBody"/>
        <w:bidi w:val="0"/>
        <w:spacing w:before="0" w:after="0"/>
        <w:ind w:left="0" w:right="0" w:hanging="0"/>
        <w:jc w:val="left"/>
        <w:rPr>
          <w:caps w:val="false"/>
          <w:smallCaps w:val="false"/>
        </w:rPr>
      </w:pPr>
      <w:r>
        <w:rPr>
          <w:caps w:val="false"/>
          <w:smallCaps w:val="false"/>
        </w:rPr>
        <w:t> </w:t>
      </w:r>
    </w:p>
    <w:tbl>
      <w:tblPr>
        <w:tblW w:w="8075" w:type="dxa"/>
        <w:jc w:val="left"/>
        <w:tblInd w:w="0" w:type="dxa"/>
        <w:tblLayout w:type="fixed"/>
        <w:tblCellMar>
          <w:top w:w="0" w:type="dxa"/>
          <w:left w:w="0" w:type="dxa"/>
          <w:bottom w:w="0" w:type="dxa"/>
          <w:right w:w="0" w:type="dxa"/>
        </w:tblCellMar>
      </w:tblPr>
      <w:tblGrid>
        <w:gridCol w:w="725"/>
        <w:gridCol w:w="200"/>
        <w:gridCol w:w="155"/>
        <w:gridCol w:w="6995"/>
      </w:tblGrid>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Where,</w:t>
            </w:r>
          </w:p>
        </w:tc>
        <w:tc>
          <w:tcPr>
            <w:tcW w:w="2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center"/>
              <w:rPr/>
            </w:pPr>
            <w:r>
              <w:rPr/>
              <w:t> </w:t>
            </w:r>
          </w:p>
        </w:tc>
        <w:tc>
          <w:tcPr>
            <w:tcW w:w="699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6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number of Shares to be issued to Holder;</w:t>
            </w:r>
          </w:p>
        </w:tc>
      </w:tr>
      <w:tr>
        <w:trPr/>
        <w:tc>
          <w:tcPr>
            <w:tcW w:w="7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Y</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6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number of Shares for which the Purchase Warrant is being exercised;</w:t>
            </w:r>
          </w:p>
        </w:tc>
      </w:tr>
      <w:tr>
        <w:trPr/>
        <w:tc>
          <w:tcPr>
            <w:tcW w:w="7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6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fair market value of one Share; and</w:t>
            </w:r>
          </w:p>
        </w:tc>
      </w:tr>
      <w:tr>
        <w:trPr/>
        <w:tc>
          <w:tcPr>
            <w:tcW w:w="7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6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Exercise Price.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2.2, the fair market value of a Share is defined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Company’s Common Stock is traded on a national securities exchange, the OTCQB or OTCQX, the fair market value shall be deemed to be the closing price on such exchange, the OTCQB or OTCQX, as the case may be, on the Business Day immediately preceding the date that the exercise form is delivered pursuant to Section 8.4 in connection with the exercise of the Purchase Warrant;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Company’s Common Stock is not then traded on a national securities exchange, the OTCQB or OTCQX and if prices for the Company’s Common Stock are then reported on the “Pink Sheets” published by OTC Markets Group, Inc., the fair market value shall be deemed to be the closing bid prior to the exercise form being submitted in connection with the exercise of the Purchase Warrant so reported; provided, however, if there is no active public market, the value shall be the fair market value thereof, as determined in good faith by the Company’s Board of Directors.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issued pursuant to this Section 2.2, the parties acknowledge and agree that in accordance with Section 3(a)(9)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Shares shall take on the characteristics of the Purchase Warrant, and the holding period of the Shares being issued may be tacked on to the holding period of this Purchase Warrant for purposes of Rule 144 promulgated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The Company agrees not to take any position contrary to this Section 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Each certificate for the securities purchased under this Purchase Warrant shall bear a legend as follows unless such securities have been registered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represented by this certificate have not been registered under the Securities Act of 1933, as amended (the “Securities Act”), or applicable state law. Neither the securities nor any interest therein may be offered for sale, sold or otherwise transferred except pursuant to an effective registration statement under the Securities Act, or pursuant to an exemption from registration under the Securities Act and applicable state law which, in the opinion of counsel to Serve Robotics Inc., is available.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53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Resale of Shares</w:t>
      </w:r>
      <w:r>
        <w:rPr>
          <w:rFonts w:ascii="Times New Roman;Times;Serif" w:hAnsi="Times New Roman;Times;Serif"/>
          <w:b w:val="false"/>
          <w:i w:val="false"/>
          <w:caps w:val="false"/>
          <w:smallCaps w:val="false"/>
          <w:sz w:val="20"/>
        </w:rPr>
        <w:t>. Holder and the Company acknowledge that as of the date hereof the Staff of the Division of Corporation Finance of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has published Compliance &amp; Disclosure Interpretation 528.04 in the Securities Act Rules section thereof, stating that the holder of securities issued in connection with a public offering may not rely upon Rule 144 to establish an exemption from registration requirements under Section 4(a)(1) of the Securities Act, but may nonetheless apply Rule 144 constructively for the resale of such shares in the following manner: (a) provided that six months has elapsed since the last sale under the registration statement, an underwriter or finder may resell the securities in accordance with the provisions of Rule 144(c), (e), and (f), except for the notice requirement; (b) a purchaser of the shares from an underwriter receives restricted securities unless the sale is made with an appropriate, current prospectus, or unless the sale is made pursuant to the conditions contained in (a) above; (c) a purchaser of the shares from an underwriter who receives restricted securities may include the underwriter’s holding period, provided that the underwriter or finder is not an affiliate of the issuer; and (d) if an underwriter transfers the shares to its employees, the employees may tack the firm’s holding period for purposes of Rule 144(d), but they must aggregate sales of the distributed shares with those of other employees, as well as those of the underwriter or finder, for a six-month period from the date of the transfer to the employees. Holder and the Company also acknowledge that the Staff of the Division of Corporation Finance of the Commission has advised in various no-action letters that the holding period associated with securities issued without registration to a service provider commences upon the completion of the services, which the Company agrees and acknowledges shall be the final closing of the Offering, and that Rule 144(d)(3)(ii) provides that securities acquired from the issuer solely in exchange for other securities of the same issuer shall be deemed to have been acquired at the same time as the securities surrendered for conversion (which the Company agrees is the date of the initial issuance of this Purchase Warrant). In the event that following a reasonably-timed written request by Holder to transfer the Shares in accordance with Compliance &amp; Disclosure Interpretation 528.04 counsel for the Company in good faith concludes that Compliance &amp; Disclosure Interpretation 528.04 no longer may be relied upon as a result of changes in applicable laws, regulations, or interpretations of the Division of Corporation Finance, or as a result of judicial interpretations not known by the Company or its counsel on the date hereof (either, a “</w:t>
      </w:r>
      <w:r>
        <w:rPr>
          <w:rFonts w:ascii="Times New Roman;Times;Serif" w:hAnsi="Times New Roman;Times;Serif"/>
          <w:b/>
          <w:i/>
          <w:caps w:val="false"/>
          <w:smallCaps w:val="false"/>
          <w:sz w:val="20"/>
        </w:rPr>
        <w:t>Registration Trigger Event”</w:t>
      </w:r>
      <w:r>
        <w:rPr>
          <w:rFonts w:ascii="Times New Roman;Times;Serif" w:hAnsi="Times New Roman;Times;Serif"/>
          <w:b w:val="false"/>
          <w:i w:val="false"/>
          <w:caps w:val="false"/>
          <w:smallCaps w:val="false"/>
          <w:sz w:val="20"/>
        </w:rPr>
        <w:t>), then the Company shall promptly, and in any event within five (5) Business Days following the request, provide written notice to Holder of such determination. As a condition to giving such notice, the parties shall negotiate in good faith a single demand registration right pursuant to an agreement in customary form reasonably acceptable to the parties; provided that notwithstanding anything to the contrary, the obligations of the Company pursuant to this Section 2 shall terminate on the fifth anniversary of the Effective Date. In the absence of such conclusion by counsel for the Company, the Company shall, upon such a request of Holder given no earlier than six months after the final closing of the Offering, instruct its transfer agent to permit the transfer of such shares in accordance with Compliance &amp; Disclosure Interpretation 528.04, provided that Holder has provided such documentation as shall be reasonably be requested by the Company to establish compliance with the conditions of Compliance &amp; Disclosure Interpretation 528.04. Notwithstanding anything to the contrary, pursuant to FINRA Rule 5110(g)(8)(B) and (C), the Holder shall not be entitled to more than one demand registration right hereunder and the duration of the registration rights hereunder shall not exceed five years from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General Restrictions</w:t>
      </w:r>
      <w:r>
        <w:rPr>
          <w:rFonts w:ascii="Times New Roman;Times;Serif" w:hAnsi="Times New Roman;Times;Serif"/>
          <w:b w:val="false"/>
          <w:i w:val="false"/>
          <w:caps w:val="false"/>
          <w:smallCaps w:val="false"/>
          <w:sz w:val="20"/>
        </w:rPr>
        <w:t>. The registered Holder of this Purchase Warrant agrees by such Holder’s acceptance hereof, that such Holder will not: (a) sell, transfer, assign, pledge or hypothecate this Purchase Warrant for a period of one hundred eighty (180) days following the Effective Date to anyone other than to, (i) the Holder or an underwriter, placement agent, or a selected dealer participating in the Offering, or (ii) a bona fide officer or partner of the Holder or of any such underwriter, placement agent or selected dealer, in each case in accordance with FINRA Conduct Rule 5110(e)(1), or (b) for a period of one hundred eighty (180) days following the Effective Date cause this Purchase Warrant or the securities issuable hereunder to be the subject of any hedging, short sale, derivative, put or call transaction that would result in the effective economic disposition of this Purchase Warrant or the securities hereunder, except as provided for in FINRA Rule 5110(e)(2). After 180 days after the Effective Date, transfers to others may be made subject to compliance with or exemptions from applicable securities laws. In order to make any permitted assignment, the Holder must deliver to the Company the assignment form attached hereto duly executed and completed, together with the Purchase Warrant and payment of all transfer taxes, if any, payable in connection therewith. The Company shall within five (5) Business Days transfer this Purchase Warrant on the books of the Company and shall execute and deliver a new Purchase Warrant or Purchase Warrants of like tenor to the appropriate assignee(s) expressly evidencing the right to purchase the aggregate number of Shares purchasable hereunder or such portion of such number as shall be contemplated by any such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Restrictions Imposed by the Securities Act</w:t>
      </w:r>
      <w:r>
        <w:rPr>
          <w:rFonts w:ascii="Times New Roman;Times;Serif" w:hAnsi="Times New Roman;Times;Serif"/>
          <w:b w:val="false"/>
          <w:i w:val="false"/>
          <w:caps w:val="false"/>
          <w:smallCaps w:val="false"/>
          <w:sz w:val="20"/>
        </w:rPr>
        <w:t>. The securities evidenced by this Purchase Warrant shall not be transferred unless and until: (i) if required by applicable law, the Company has received the opinion of counsel for the Company that the securities may be transferred pursuant to an exemption from registration under the Securities Act and applicable state securities laws, or (ii) a registration statement or a post-effective amendment to the Registration Statement relating to the offer and sale of such securities has been filed by the Company and declared effective by the Commission and compliance with applicable state securities law has been established.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Grant of Right</w:t>
      </w:r>
      <w:r>
        <w:rPr>
          <w:rFonts w:ascii="Times New Roman;Times;Serif" w:hAnsi="Times New Roman;Times;Serif"/>
          <w:b w:val="false"/>
          <w:i w:val="false"/>
          <w:caps w:val="false"/>
          <w:smallCaps w:val="false"/>
          <w:sz w:val="20"/>
        </w:rPr>
        <w:t>. In the event that there is not an effective registration statement covering the Purchase Warrant or the underlying Shares, whenever the Company proposes to register any shares of its Common Stock under the Securities Act (other than (i) a registration statement to register shares under an employee benefit plan or to effect a transaction to which Rule 145 of the Securities Act is applicable, or (ii) a registration statement on Form S-4, S-8 or any successor form thereto or another form not available for registering the Shares issuable upon exercise of this Purchase Warrant for sale to the public, whether for its own account or for the account of one or more stockholders of the Company (a “</w:t>
      </w:r>
      <w:r>
        <w:rPr>
          <w:rFonts w:ascii="Times New Roman;Times;Serif" w:hAnsi="Times New Roman;Times;Serif"/>
          <w:b/>
          <w:i/>
          <w:caps w:val="false"/>
          <w:smallCaps w:val="false"/>
          <w:sz w:val="20"/>
        </w:rPr>
        <w:t>Piggyback Registration”</w:t>
      </w:r>
      <w:r>
        <w:rPr>
          <w:rFonts w:ascii="Times New Roman;Times;Serif" w:hAnsi="Times New Roman;Times;Serif"/>
          <w:b w:val="false"/>
          <w:i w:val="false"/>
          <w:caps w:val="false"/>
          <w:smallCaps w:val="false"/>
          <w:sz w:val="20"/>
        </w:rPr>
        <w:t>)), the Company shall give prompt written notice (in any event no later than ten (10) Business Days prior to the filing of such registration statement) to the Holder of the Company’s intention to effect such a registration and, subject to the remaining provisions of this Section 4.1, shall include in such registration such number of Shares underlying this Purchase Warrant (the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that the Holder has (within ten (10) Business Days of the respective Holder’s receipt of such notice) requested in writing (including such number) to be included within such registration. If, in connection with an underwritten offering, the managing underwriter advises the Company that it has determined in good faith that marketing factors require a limit on the number of shares of Common Stock to be included in such registration, the Company shall include in such registration (i) first, the number of shares of Common Stock that the Company proposes to issue and sell pursuant to such underwritten offering and (ii) second, the number of shares of Common Stock, if any, requested to be included therein by selling stockholders (including the Holder) allocated pro rata among all such persons on the basis of the number of shares of Common Stock then owned by each such person as compared to the total number of shares the managing underwriter shall permit to be included in such registration. In connection with any Piggyback Registration, Holder shall pay any and all underwriting commissions (if the offering is an underwritten offering) and the expenses of any legal counsel selected by Holder to represent it in connection with the sale of the Registrable Securities. Notwithstanding anything to the contrary, the obligations of the Company pursuant to this Section 4.1 shall terminate on the earlier of (i) the fifth anniversary of the Effective Date and (ii) the date that Rule 144 would allow the Holder to sell its Registrable Securities during any ninety (90) day period. The duration of the piggyback registration right shall not exceed seven years from the Effective Date, in accordance with FINRA Rule 5110(g)(8)(D)).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Company shall indemnify the Holder(s) of the Registrable Securities to be sold pursuant to any registration statement hereunder and each person, if any, who controls such Holders within the meaning of Section 15 of the Securities Act or Section 20 (a) of the Securities Exchange Act of 1934, as amended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against all loss, claim, damage, expense or liability (including all reasonable attorneys’ fees and other out-of-pocket expenses reasonably incurred in investigating, preparing or defending against any claim whatsoever) to which any of them may become subject under the Securities Act, the Exchange Act or otherwise, arising from such registration statement but only to the same extent and with the same effect as the provisions pursuant to which the Company has agreed to indemnify Holder contained in the Underwriting Agreement between Aegis Capital Corp. and the Company, dated as of [●], 2024. The Holder(s) of the Registrable Securities to be sold pursuant to such registration statement, and their 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Securities Act, the Exchange Act or otherwise, arising from information furnished by or on behalf of such Holders, or their successors or assigns, in writing, for specific inclusion in such registration statement to the same extent and with the same effect as the provisions contained in the Underwriting Agreement pursuant to which Aegis Capital Corp. has agreed to indemnify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Exercise of Purchase Warrants</w:t>
      </w:r>
      <w:r>
        <w:rPr>
          <w:rFonts w:ascii="Times New Roman;Times;Serif" w:hAnsi="Times New Roman;Times;Serif"/>
          <w:b w:val="false"/>
          <w:i w:val="false"/>
          <w:caps w:val="false"/>
          <w:smallCaps w:val="false"/>
          <w:sz w:val="20"/>
        </w:rPr>
        <w:t>. Nothing contained in this Purchase Warrant shall be construed as requiring the Holder(s) to exercise their Purchase Warrants prior to or after the initial filing of any registration statement or the effectiveness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Documents Delivered to Holders</w:t>
      </w:r>
      <w:r>
        <w:rPr>
          <w:rFonts w:ascii="Times New Roman;Times;Serif" w:hAnsi="Times New Roman;Times;Serif"/>
          <w:b w:val="false"/>
          <w:i w:val="false"/>
          <w:caps w:val="false"/>
          <w:smallCaps w:val="false"/>
          <w:sz w:val="20"/>
        </w:rPr>
        <w:t>. The Company shall deliver promptly to each Holder participating in the offering requesting the correspondence and memoranda described below,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during normal business hours, as any such Holder shall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The Holders shall be parties to any underwriting agreement relating to a Piggyback Registration. Such Holders shall not be required to make any representations or warranties to or agreements with the Company or the underwriters except as they may relate to such Holders, their Shares and the amount and nature of their ownership thereof and their intended methods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Documents to be Delivered by Holder(s)</w:t>
      </w:r>
      <w:r>
        <w:rPr>
          <w:rFonts w:ascii="Times New Roman;Times;Serif" w:hAnsi="Times New Roman;Times;Serif"/>
          <w:b w:val="false"/>
          <w:i w:val="false"/>
          <w:caps w:val="false"/>
          <w:smallCaps w:val="false"/>
          <w:sz w:val="20"/>
        </w:rPr>
        <w:t>. Each of the Holder(s) participating in any of the foregoing offerings shall furnish to the Company a completed and executed questionnaire provided by the Company requesting information customarily sought of 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Should the Company fail to comply with the applicable provisions in this Article 4, the Holder shall, in addition to any other legal or other relief available to the Holder, be entitled to obtain specific performance or other equitable (including injunctive) relief against the threatened breach of such provisions or the continuation of any such breach, without the necessity of proving actual damages and without the necessity of posting bond or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New Purchase Warrants to be Issued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Partial Exercise or Transfer</w:t>
      </w:r>
      <w:r>
        <w:rPr>
          <w:rFonts w:ascii="Times New Roman;Times;Serif" w:hAnsi="Times New Roman;Times;Serif"/>
          <w:b w:val="false"/>
          <w:i w:val="false"/>
          <w:caps w:val="false"/>
          <w:smallCaps w:val="false"/>
          <w:sz w:val="20"/>
        </w:rPr>
        <w:t>. Subject to the restrictions in Section 3 hereof, this Purchase Warrant may be exercised or assigned in whole or in part. In the event of the exercise or assignment hereof in part only, upon surrender of this Purchase Warrant for cancellation, together with the duly executed exercise or assignment form and funds sufficient to pay any Exercise Price and/or transfer tax if exercised pursuant to Section 2.1 hereto, the Company shall cause to be delivered to the Holder without charge a new Purchase Warrant of like tenor to this Purchase Warrant in the name of the Holder evidencing the right of the Holder to purchase the number of Shares purchasable hereunder as to which this Purchase Warrant has not been exercised or assigned.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Lost Certificate</w:t>
      </w:r>
      <w:r>
        <w:rPr>
          <w:rFonts w:ascii="Times New Roman;Times;Serif" w:hAnsi="Times New Roman;Times;Serif"/>
          <w:b w:val="false"/>
          <w:i w:val="false"/>
          <w:caps w:val="false"/>
          <w:smallCaps w:val="false"/>
          <w:sz w:val="20"/>
        </w:rPr>
        <w:t>. Upon receipt by the Company of evidence satisfactory to it of the loss, theft, destruction or mutilation of this Purchase Warrant and of reasonably satisfactory indemnification or the posting of a bond, determined in the sole discretion of the Company, the Company shall execute and deliver a new Purchase Warrant of like tenor and date. Any such new Purchase Warrant executed and delivered as a result of such loss, theft, mutilation or destruction shall constitute a substitute contractual obligation on the part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Adjustments to Exercise Price and Number of Securities</w:t>
      </w:r>
      <w:r>
        <w:rPr>
          <w:rFonts w:ascii="Times New Roman;Times;Serif" w:hAnsi="Times New Roman;Times;Serif"/>
          <w:b w:val="false"/>
          <w:i w:val="false"/>
          <w:caps w:val="false"/>
          <w:smallCaps w:val="false"/>
          <w:sz w:val="20"/>
        </w:rPr>
        <w:t>. The Exercise Price and the number of Shares underlying the Purchase Warrant shall be subject to adjustment from time to time as hereinafter set forth: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Share Dividends; Split Ups.</w:t>
      </w:r>
      <w:r>
        <w:rPr>
          <w:rFonts w:ascii="Times New Roman;Times;Serif" w:hAnsi="Times New Roman;Times;Serif"/>
          <w:b w:val="false"/>
          <w:i w:val="false"/>
          <w:caps w:val="false"/>
          <w:smallCaps w:val="false"/>
          <w:sz w:val="20"/>
        </w:rPr>
        <w:t xml:space="preserve"> If, after the date hereof, and subject to the provisions of Section 6.3 below, the number of outstanding Shares is increased by a stock dividend payable in Shares or by a split up of Shares or other similar event, then, on the effective day thereof, the number of Shares purchasable hereunder shall be increased in proportion to such increase in outstanding Shares, and the Exercise Price shall be proportionately decreased.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Aggregation of Shares</w:t>
      </w:r>
      <w:r>
        <w:rPr>
          <w:rFonts w:ascii="Times New Roman;Times;Serif" w:hAnsi="Times New Roman;Times;Serif"/>
          <w:b w:val="false"/>
          <w:i w:val="false"/>
          <w:caps w:val="false"/>
          <w:smallCaps w:val="false"/>
          <w:sz w:val="20"/>
        </w:rPr>
        <w:t>. If, after the date hereof, and subject to the provisions of Section 6.3 below, the number of outstanding Shares is decreased by a consolidation, combination or reclassification of Shares or other similar event, then, on the effective date thereof, the number of Shares purchasable hereunder shall be decreased in proportion to such decrease in outstanding Shares, and the Exercise Price shall be proportionately increased.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58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Replacement of Securities upon Reorganization, Etc.</w:t>
      </w:r>
      <w:r>
        <w:rPr>
          <w:rFonts w:ascii="Times New Roman;Times;Serif" w:hAnsi="Times New Roman;Times;Serif"/>
          <w:b w:val="false"/>
          <w:i w:val="false"/>
          <w:caps w:val="false"/>
          <w:smallCaps w:val="false"/>
          <w:sz w:val="20"/>
        </w:rPr>
        <w:t xml:space="preserve"> In case of any reclassification or reorganization of the outstanding Shares other than a change covered by Section 6.1.1 or 6.1.2 hereof or that solely affects the par value of such Shares, or in the case of any share reconstruction or amalgamation or consolidation or merger of the Company with or into another corporation (other than a consolidation or share reconstruction or amalgamation or merger in which the Company is the continuing company and that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Purchase Warrant shall have the right thereafter (until the expiration of the right of exercise of this Purchase Warrant) to receive upon the exercise hereof, for the same aggregate Exercise Price payable hereunder immediately prior to such event, the kind and amount of shares or other securities or property (including cash) receivable upon such reclassification, reorganization, share reconstruction or amalgamation, or consolidation, or upon a dissolution following any such sale or transfer, by a Holder of the number of Shares of the Company obtainable upon exercise of this Purchase Warrant immediately prior to such event; and if any reclassification also results in a change in Shares covered by Section 6.1.1 or 6.1.2, then such adjustment shall be made pursuant to Sections 6.1.1, 6.1.2 and this Section 6.1.3. The provisions of this Section 6.1.3 shall similarly apply to successive reclassifications, reorganizations, share reconstructions or amalgamations, or consolidations, sales or other transfers.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Changes in Form of Purchase Warrant.</w:t>
      </w:r>
      <w:r>
        <w:rPr>
          <w:rFonts w:ascii="Times New Roman;Times;Serif" w:hAnsi="Times New Roman;Times;Serif"/>
          <w:b w:val="false"/>
          <w:i w:val="false"/>
          <w:caps w:val="false"/>
          <w:smallCaps w:val="false"/>
          <w:sz w:val="20"/>
        </w:rPr>
        <w:t xml:space="preserve"> This form of Purchase Warrant need not be changed because of any change pursuant to this Section 6.1, and Purchase Warrants issued after such change may state the same Exercise Price and the same number of Shares as are stated in the Purchase Warrants initially issued pursuant to this Agreement. The acceptance by any Holder of the issuance of new Purchase Warrants reflecting a required or permissive change shall not be deemed to waive any rights to an adjustment occurring after the Commencement Date or the computation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Substitute Purchase Warrant</w:t>
      </w:r>
      <w:r>
        <w:rPr>
          <w:rFonts w:ascii="Times New Roman;Times;Serif" w:hAnsi="Times New Roman;Times;Serif"/>
          <w:b w:val="false"/>
          <w:i w:val="false"/>
          <w:caps w:val="false"/>
          <w:smallCaps w:val="false"/>
          <w:sz w:val="20"/>
        </w:rPr>
        <w:t>. In case of any consolidation of the Company with, or share reconstruction or amalgamation or merger of the Company with or into, another corporation (other than a consolidation or share reconstruction or amalgamation or merger which does not result in any reclassification or change of the outstanding Shares), the corporation formed by such consolidation or share reconstruction or amalgamation shall execute and deliver to the Holder a supplemental Purchase Warrant providing that the holder of each Purchase Warrant then outstanding or to be outstanding shall have the right thereafter (until the stated expiration of such Purchase Warrant) to receive, upon exercise of such Purchase Warrant, the kind and amount of shares and other securities and property receivable upon such consolidation or share reconstruction or amalgamation, by a holder of the number of Shares of the Company for which such Purchase Warrant might have been exercised immediately prior to such consolidation, share reconstruction or amalgamation or merger, sale or transfer. Such supplemental Purchase Warrant shall provide for adjustments which shall be identical to the adjustments provided for in this Section 6. The above provision of this Section shall similarly apply to successive consolidations or share reconstructions or amalgamations or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59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Elimination of Fractional Interests</w:t>
      </w:r>
      <w:r>
        <w:rPr>
          <w:rFonts w:ascii="Times New Roman;Times;Serif" w:hAnsi="Times New Roman;Times;Serif"/>
          <w:b w:val="false"/>
          <w:i w:val="false"/>
          <w:caps w:val="false"/>
          <w:smallCaps w:val="false"/>
          <w:sz w:val="20"/>
        </w:rPr>
        <w:t>. The Company shall not be required to issue certificates representing fractions of Shares upon the exercise of the Purchase Warrant, nor shall it be required to issue scrip or pay cash in lieu of any fractional interests, it being the intent of the parties that all fractional interests shall be eliminated by rounding any fraction up or down, as the case may be, to the nearest whole number of Shares or other securities, properties or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The Company shall at all times reserve and keep available out of its authorized Shares, solely for the purpose of issuance upon exercise of the Purchase Warrants, such number of Shares or other securities, properties or rights as shall be issuable upon the exercise thereof. The Company covenants and agrees that, upon exercise of the Purchase Warrants and payment of the Exercise Price therefor, in accordance with the terms hereby, all Shares and other securities issuable upon such exercise shall be duly and validly issued, fully paid and non-assessable and not subject to preemptive rights of any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Certain Notice Requirements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Holder’s Right to Receive Notice</w:t>
      </w:r>
      <w:r>
        <w:rPr>
          <w:rFonts w:ascii="Times New Roman;Times;Serif" w:hAnsi="Times New Roman;Times;Serif"/>
          <w:b w:val="false"/>
          <w:i w:val="false"/>
          <w:caps w:val="false"/>
          <w:smallCaps w:val="false"/>
          <w:sz w:val="20"/>
        </w:rPr>
        <w:t>. Nothing herein shall be construed as conferring upon the Holder the right to vote or consent or to receive notice as a shareholder for the election of directors or any other matter, or as having any rights whatsoever as a shareholder of the Company. If, however, at any time prior to the expiration of the Purchase Warrants and their exercise, any of the events described in Section 8.2 shall occur, then, in one or more of said events, the Company shall deliver to each Holder a copy of each notice relating to such events given to the other shareholders of the Company at the same time and in the same manner that such notice is given to the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Events Requiring Notice</w:t>
      </w:r>
      <w:r>
        <w:rPr>
          <w:rFonts w:ascii="Times New Roman;Times;Serif" w:hAnsi="Times New Roman;Times;Serif"/>
          <w:b w:val="false"/>
          <w:i w:val="false"/>
          <w:caps w:val="false"/>
          <w:smallCaps w:val="false"/>
          <w:sz w:val="20"/>
        </w:rPr>
        <w:t>. The Company shall be required to give the notice described in this Section 8 upon one or more of the following events: (i) if the Company shall take a record of the holders of its Shares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or (ii) the Company shall offer to all the holders of its Shares any additional shares of capital stock of the Company or securities convertible into or exchangeable for shares of capital stock of the Company, or any option, right or warrant to subscribe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Notice of Change in Exercise Price</w:t>
      </w:r>
      <w:r>
        <w:rPr>
          <w:rFonts w:ascii="Times New Roman;Times;Serif" w:hAnsi="Times New Roman;Times;Serif"/>
          <w:b w:val="false"/>
          <w:i w:val="false"/>
          <w:caps w:val="false"/>
          <w:smallCaps w:val="false"/>
          <w:sz w:val="20"/>
        </w:rPr>
        <w:t>. The Company shall, within 3 Business Days after an event requiring a change in the Exercise Price pursuant to Section 6 hereof, send notice to the Holder of such event and change (“</w:t>
      </w:r>
      <w:r>
        <w:rPr>
          <w:rFonts w:ascii="Times New Roman;Times;Serif" w:hAnsi="Times New Roman;Times;Serif"/>
          <w:b/>
          <w:i/>
          <w:caps w:val="false"/>
          <w:smallCaps w:val="false"/>
          <w:sz w:val="20"/>
        </w:rPr>
        <w:t>Price Notice”</w:t>
      </w:r>
      <w:r>
        <w:rPr>
          <w:rFonts w:ascii="Times New Roman;Times;Serif" w:hAnsi="Times New Roman;Times;Serif"/>
          <w:b w:val="false"/>
          <w:i w:val="false"/>
          <w:caps w:val="false"/>
          <w:smallCaps w:val="false"/>
          <w:sz w:val="20"/>
        </w:rPr>
        <w:t>). The Price Notice shall describe the event causing the change and the method of calculating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Transmittal of Notices</w:t>
      </w:r>
      <w:r>
        <w:rPr>
          <w:rFonts w:ascii="Times New Roman;Times;Serif" w:hAnsi="Times New Roman;Times;Serif"/>
          <w:b w:val="false"/>
          <w:i w:val="false"/>
          <w:caps w:val="false"/>
          <w:smallCaps w:val="false"/>
          <w:sz w:val="20"/>
        </w:rPr>
        <w:t>. All notices, requests, consents and other communications under this Purchase Warrant shall be in writing and delivered personally, by e-mail, or sent by a nationally recognized overnight courier service to following addresses or to such other address as the Holder or the Company may designate by notice to the other party and shall be deemed given and effective on the earliest of (i) the time of transmission, if such notice or communication is delivered via e-mail (with confirmation of receipt from the intended recipient by return e-mail or other written acknowledgment) at the e-mail address set forth in this Section prior to 5:30 p.m. (New York City time) on any date, (ii) the next Business Day after the time of transmission, if such notice or communication is delivered via e-mail (with confirmation of receipt from the intended recipient by return email or other written acknowledgment) at the e-mail address set forth in this Section on a day that is not a Business Day or later than 5:30 p.m. (New York City time) on any Business Day, (iii) the second Business Day following the date of mailing, if sent by U.S. nationally recognized overnight courier service, or (iv) upon actual receipt by the party to whom such notice is required to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Aegis Capital Corp.</w:t>
      </w:r>
    </w:p>
    <w:p>
      <w:pPr>
        <w:pStyle w:val="TextBody"/>
        <w:bidi w:val="0"/>
        <w:spacing w:before="0" w:after="0"/>
        <w:ind w:left="810" w:right="0" w:hanging="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 27</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w:t>
      </w:r>
    </w:p>
    <w:p>
      <w:pPr>
        <w:pStyle w:val="TextBody"/>
        <w:bidi w:val="0"/>
        <w:spacing w:before="0" w:after="0"/>
        <w:ind w:left="810" w:right="0" w:hanging="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10105</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Robert Eide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reide@aegiscap.com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Barrett S. DiPaolo</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Sichenzia Ross Ference Carmel LLP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bdipaolo@srfc.law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 Broadway</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94063</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Ali Kashani</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ali@serverobotics.com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Albert Vanderlaan, Esq., Esq.</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Orrick, Herrington &amp; Sutcliffe LLP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Berkeley St., Suite 2000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James Center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02116</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avanderlaan@orrick.com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Company and Aegis Capital Corp. may from time-to-time supplement or amend this Purchase Warrant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Aegis Capital Corp. may deem necessary or desirable and that the Company and Aegis Capital Corp. deem shall not adversely affect the interest of the Holders. All other modifications or amendments shall require the written consent of and be signed by (i) the Company and (ii) the Holder(s) of Purchase Warrants then-exercisable for at least a majority of the Shares then-exercisable pursuant to all then-outstanding Purchase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herein are for the sole purpose of convenience of reference, and shall not in any way limit or affect the meaning or interpretation of any of the terms or provisions of this Purchase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Purchase Warrant (together with the other agreements and documents being delivered pursuant to or in connection with this Purchase Warrant) constitutes the entire agreement of the parties hereto with respect to the subject matter hereof, and supersedes all prior agreements and understandings of the parties, oral and written,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Purchase Warrant shall inure solely to the benefit of and shall be binding upon, the Holder and the Company and their permitted assignees, respective successors, legal representative and assigns, and no other person shall have or be construed to have any legal or equitable right, remedy or claim under or in respect of or by virtue of this Purchase Warrant or any provisions 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Governing Law; Submission to Jurisdiction; Trial by Jury</w:t>
      </w:r>
      <w:r>
        <w:rPr>
          <w:rFonts w:ascii="Times New Roman;Times;Serif" w:hAnsi="Times New Roman;Times;Serif"/>
          <w:b w:val="false"/>
          <w:i w:val="false"/>
          <w:caps w:val="false"/>
          <w:smallCaps w:val="false"/>
          <w:sz w:val="20"/>
        </w:rPr>
        <w:t>. This Purchase Warrant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Purchase Warrant shall be brought and enforced in the courts located in the City of New York, County of New York, and State of New York,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it at the address set forth in Section 8 hereof. Such mailing shall be deemed personal service and shall be legal and binding upon the Company in any action, proceeding or claim. The Company and the Holder agree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stockholders and affiliates) and the Holder hereby irrevocably waive,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Non-Waiver</w:t>
      </w:r>
      <w:r>
        <w:rPr>
          <w:rFonts w:ascii="Times New Roman;Times;Serif" w:hAnsi="Times New Roman;Times;Serif"/>
          <w:b w:val="false"/>
          <w:i w:val="false"/>
          <w:caps w:val="false"/>
          <w:smallCaps w:val="false"/>
          <w:sz w:val="20"/>
        </w:rPr>
        <w:t>. The failure of the Company or the Holder to at any time enforce any of the provisions of this Purchase Warrant shall not be deemed or construed to be a waiver of any such provision, nor to in any way affect the validity of this Purchase Warrant or any provision hereof or the right of the Company or any Holder to thereafter enforce each and every provision of this Purchase Warrant. No waiver of any breach, non-compliance or non-fulfillment of any of the provisions of this Purchase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 Follows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62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Purchase Warrant to be signed by its duly authorized officer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710"/>
        <w:gridCol w:w="230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SERVE ROBOTICS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Ali Kashani</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Form to be used to exercise Purchase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 20___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irrevocably to exercise the Purchase Warrant for ___________ shares of common stock, par value $0.0001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Serve Robotics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hereby makes payment of $____ (at the rate of $____ per Share) in payment of the Exercise Price pursuant thereto. Please issue the Shares as to which this Purchase Warrant is exercised in accordance with the instructions given below and, if applicable, a new Purchase Warrant representing the number of Shares for which this Purchase Warrant has not been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irrevocably exercise the Purchase Warrant by “cashless exercise” for __________ Shares, with the net number of Shares to be issued to the undersigned determined in accordance with Section 2.2 of the Purchase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and acknowledges that the calculation required by Section 2.2 is subject to confirmation by the Company and any disagreement with respect to the calculation shall be resolved by the Company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Shares as to which this Purchase Warrant is exercised in accordance with the instructions given below and, if applicable, a new Purchase Warrant representing the number of Shares for which this Purchase Warrant has not been converted.</w:t>
      </w:r>
    </w:p>
    <w:p>
      <w:pPr>
        <w:pStyle w:val="TextBody"/>
        <w:bidi w:val="0"/>
        <w:spacing w:before="0" w:after="0"/>
        <w:ind w:left="0" w:right="0" w:firstLine="720"/>
        <w:jc w:val="both"/>
        <w:rPr>
          <w:caps w:val="false"/>
          <w:smallCaps w:val="false"/>
        </w:rPr>
      </w:pPr>
      <w:r>
        <w:rPr>
          <w:caps w:val="false"/>
          <w:smallCaps w:val="false"/>
        </w:rPr>
        <w:t> </w:t>
      </w:r>
    </w:p>
    <w:tbl>
      <w:tblPr>
        <w:tblW w:w="2284" w:type="dxa"/>
        <w:jc w:val="left"/>
        <w:tblInd w:w="0" w:type="dxa"/>
        <w:tblLayout w:type="fixed"/>
        <w:tblCellMar>
          <w:top w:w="0" w:type="dxa"/>
          <w:left w:w="0" w:type="dxa"/>
          <w:bottom w:w="0" w:type="dxa"/>
          <w:right w:w="0" w:type="dxa"/>
        </w:tblCellMar>
      </w:tblPr>
      <w:tblGrid>
        <w:gridCol w:w="1945"/>
        <w:gridCol w:w="144"/>
        <w:gridCol w:w="60"/>
        <w:gridCol w:w="60"/>
        <w:gridCol w:w="75"/>
      </w:tblGrid>
      <w:tr>
        <w:trPr/>
        <w:tc>
          <w:tcPr>
            <w:tcW w:w="1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204"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r>
        <w:trPr/>
        <w:tc>
          <w:tcPr>
            <w:tcW w:w="1945" w:type="dxa"/>
            <w:tcBorders/>
            <w:vAlign w:val="center"/>
          </w:tcPr>
          <w:p>
            <w:pPr>
              <w:pStyle w:val="TableContents"/>
              <w:bidi w:val="0"/>
              <w:spacing w:before="0" w:after="283"/>
              <w:jc w:val="left"/>
              <w:rPr/>
            </w:pPr>
            <w:r>
              <w:rPr/>
              <w:t> </w:t>
            </w:r>
          </w:p>
        </w:tc>
        <w:tc>
          <w:tcPr>
            <w:tcW w:w="204" w:type="dxa"/>
            <w:gridSpan w:val="2"/>
            <w:tcBorders/>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r>
        <w:trPr/>
        <w:tc>
          <w:tcPr>
            <w:tcW w:w="2089" w:type="dxa"/>
            <w:gridSpan w:val="2"/>
            <w:tcBorders/>
            <w:vAlign w:val="center"/>
          </w:tcPr>
          <w:p>
            <w:pPr>
              <w:pStyle w:val="TableContents"/>
              <w:bidi w:val="0"/>
              <w:spacing w:before="0" w:after="283"/>
              <w:jc w:val="left"/>
              <w:rPr/>
            </w:pPr>
            <w:r>
              <w:rPr/>
              <w:t>Signature Guaranteed</w:t>
            </w:r>
          </w:p>
        </w:tc>
        <w:tc>
          <w:tcPr>
            <w:tcW w:w="1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4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FOR REGISTRATION OF SECURITIES</w:t>
      </w:r>
    </w:p>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85"/>
        <w:gridCol w:w="1880"/>
        <w:gridCol w:w="75"/>
      </w:tblGrid>
      <w:tr>
        <w:trPr/>
        <w:tc>
          <w:tcPr>
            <w:tcW w:w="785" w:type="dxa"/>
            <w:tcBorders/>
            <w:vAlign w:val="center"/>
          </w:tcPr>
          <w:p>
            <w:pPr>
              <w:pStyle w:val="TableContents"/>
              <w:bidi w:val="0"/>
              <w:spacing w:before="0" w:after="283"/>
              <w:jc w:val="left"/>
              <w:rPr/>
            </w:pPr>
            <w:r>
              <w:rPr/>
              <w:t>Name:</w:t>
            </w:r>
          </w:p>
        </w:tc>
        <w:tc>
          <w:tcPr>
            <w:tcW w:w="188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in Block Letters)</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w:t>
            </w:r>
          </w:p>
        </w:tc>
        <w:tc>
          <w:tcPr>
            <w:tcW w:w="188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934"/>
        <w:gridCol w:w="9234"/>
      </w:tblGrid>
      <w:tr>
        <w:trPr/>
        <w:tc>
          <w:tcPr>
            <w:tcW w:w="3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pPr>
            <w:r>
              <w:rPr/>
              <w:t>NOTICE:</w:t>
            </w:r>
          </w:p>
        </w:tc>
        <w:tc>
          <w:tcPr>
            <w:tcW w:w="9234" w:type="dxa"/>
            <w:tcBorders/>
            <w:vAlign w:val="center"/>
          </w:tcPr>
          <w:p>
            <w:pPr>
              <w:pStyle w:val="TableContents"/>
              <w:bidi w:val="0"/>
              <w:spacing w:before="0" w:after="283"/>
              <w:jc w:val="both"/>
              <w:rPr>
                <w:b/>
              </w:rPr>
            </w:pPr>
            <w:r>
              <w:rPr>
                <w:b/>
              </w:rPr>
              <w:t>The signature to this form must correspond with the name as written upon the face of the Purchase Warrant without alteration or enlargement or any change whatsoever, and must be guaranteed by a bank, other than a savings bank, or by a trust company or by a firm having membership on a registered national securities exchange.</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Form to be used to assign Purchase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to effect a transfer of the within Purchase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VALUE RECEIVED, __________________ does hereby sell, assign and transfer unto __________________ the right to purchase shares of common stock, par value $0.0001 per share, of </w:t>
      </w:r>
      <w:r>
        <w:rPr>
          <w:rFonts w:ascii="Times New Roman;Times;Serif" w:hAnsi="Times New Roman;Times;Serif"/>
          <w:b/>
          <w:i w:val="false"/>
          <w:caps w:val="false"/>
          <w:smallCaps w:val="false"/>
          <w:sz w:val="20"/>
        </w:rPr>
        <w:t>Serve Robotics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evidenced by the Purchase Warrant and does hereby authorize the Company to transfer such right on the books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 20__</w:t>
      </w:r>
    </w:p>
    <w:p>
      <w:pPr>
        <w:pStyle w:val="TextBody"/>
        <w:bidi w:val="0"/>
        <w:spacing w:before="0" w:after="0"/>
        <w:ind w:left="0" w:right="0" w:hanging="0"/>
        <w:jc w:val="both"/>
        <w:rPr>
          <w:caps w:val="false"/>
          <w:smallCaps w:val="false"/>
        </w:rPr>
      </w:pPr>
      <w:r>
        <w:rPr>
          <w:caps w:val="false"/>
          <w:smallCaps w:val="false"/>
        </w:rPr>
        <w:t> </w:t>
      </w:r>
    </w:p>
    <w:tbl>
      <w:tblPr>
        <w:tblW w:w="1984" w:type="dxa"/>
        <w:jc w:val="left"/>
        <w:tblInd w:w="0" w:type="dxa"/>
        <w:tblLayout w:type="fixed"/>
        <w:tblCellMar>
          <w:top w:w="0" w:type="dxa"/>
          <w:left w:w="0" w:type="dxa"/>
          <w:bottom w:w="0" w:type="dxa"/>
          <w:right w:w="0" w:type="dxa"/>
        </w:tblCellMar>
      </w:tblPr>
      <w:tblGrid>
        <w:gridCol w:w="1682"/>
        <w:gridCol w:w="107"/>
        <w:gridCol w:w="60"/>
        <w:gridCol w:w="60"/>
        <w:gridCol w:w="75"/>
      </w:tblGrid>
      <w:tr>
        <w:trPr/>
        <w:tc>
          <w:tcPr>
            <w:tcW w:w="1682" w:type="dxa"/>
            <w:tcBorders/>
            <w:vAlign w:val="center"/>
          </w:tcPr>
          <w:p>
            <w:pPr>
              <w:pStyle w:val="TableContents"/>
              <w:bidi w:val="0"/>
              <w:spacing w:before="0" w:after="283"/>
              <w:jc w:val="left"/>
              <w:rPr/>
            </w:pPr>
            <w:r>
              <w:rPr/>
              <w:t>Signature</w:t>
            </w:r>
          </w:p>
        </w:tc>
        <w:tc>
          <w:tcPr>
            <w:tcW w:w="167"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r>
        <w:trPr/>
        <w:tc>
          <w:tcPr>
            <w:tcW w:w="1682" w:type="dxa"/>
            <w:tcBorders/>
            <w:vAlign w:val="center"/>
          </w:tcPr>
          <w:p>
            <w:pPr>
              <w:pStyle w:val="TableContents"/>
              <w:bidi w:val="0"/>
              <w:spacing w:before="0" w:after="283"/>
              <w:jc w:val="left"/>
              <w:rPr/>
            </w:pPr>
            <w:r>
              <w:rPr/>
              <w:t> </w:t>
            </w:r>
          </w:p>
        </w:tc>
        <w:tc>
          <w:tcPr>
            <w:tcW w:w="167" w:type="dxa"/>
            <w:gridSpan w:val="2"/>
            <w:tcBorders/>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r>
        <w:trPr/>
        <w:tc>
          <w:tcPr>
            <w:tcW w:w="17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w:t>
            </w:r>
          </w:p>
        </w:tc>
        <w:tc>
          <w:tcPr>
            <w:tcW w:w="12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2"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934"/>
        <w:gridCol w:w="9233"/>
      </w:tblGrid>
      <w:tr>
        <w:trPr/>
        <w:tc>
          <w:tcPr>
            <w:tcW w:w="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pPr>
            <w:r>
              <w:rPr/>
              <w:t>NOTICE:</w:t>
            </w:r>
          </w:p>
        </w:tc>
        <w:tc>
          <w:tcPr>
            <w:tcW w:w="9233" w:type="dxa"/>
            <w:tcBorders/>
            <w:vAlign w:val="center"/>
          </w:tcPr>
          <w:p>
            <w:pPr>
              <w:pStyle w:val="TableContents"/>
              <w:bidi w:val="0"/>
              <w:spacing w:before="0" w:after="283"/>
              <w:jc w:val="both"/>
              <w:rPr>
                <w:b/>
              </w:rPr>
            </w:pPr>
            <w:r>
              <w:rPr>
                <w:b/>
              </w:rPr>
              <w:t xml:space="preserve">The signature to this form must correspond with the name as written upon the face of the within Purchase Warrant without alteration or enlargement or any change whatsoever, and must be guaranteed by a bank, other than a savings bank, or by a trust company or by a firm having membership on a registered national securities exchange. </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Lock-Up Agreement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7(j) of the Underwriting Agreement, dated [●], 2024 (the “</w:t>
      </w:r>
      <w:r>
        <w:rPr>
          <w:rFonts w:ascii="Times New Roman;Times;Serif" w:hAnsi="Times New Roman;Times;Serif"/>
          <w:b/>
          <w:i/>
          <w:caps w:val="false"/>
          <w:smallCaps w:val="false"/>
          <w:sz w:val="20"/>
        </w:rPr>
        <w:t>Underwriting Agreement”</w:t>
      </w:r>
      <w:r>
        <w:rPr>
          <w:rFonts w:ascii="Times New Roman;Times;Serif" w:hAnsi="Times New Roman;Times;Serif"/>
          <w:b w:val="false"/>
          <w:i w:val="false"/>
          <w:caps w:val="false"/>
          <w:smallCaps w:val="false"/>
          <w:sz w:val="20"/>
        </w:rPr>
        <w:t>), among Serve Robotics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Aegis Capital Corp. (the “</w:t>
      </w:r>
      <w:r>
        <w:rPr>
          <w:rFonts w:ascii="Times New Roman;Times;Serif" w:hAnsi="Times New Roman;Times;Serif"/>
          <w:b/>
          <w:i/>
          <w:caps w:val="false"/>
          <w:smallCaps w:val="false"/>
          <w:sz w:val="20"/>
        </w:rPr>
        <w:t>Underwriter”</w:t>
      </w:r>
      <w:r>
        <w:rPr>
          <w:rFonts w:ascii="Times New Roman;Times;Serif" w:hAnsi="Times New Roman;Times;Serif"/>
          <w:b w:val="false"/>
          <w:i w:val="false"/>
          <w:caps w:val="false"/>
          <w:smallCaps w:val="false"/>
          <w:sz w:val="20"/>
        </w:rPr>
        <w:t>), and the Lock-Up Agreement, dated [●], 2024 (the “</w:t>
      </w:r>
      <w:r>
        <w:rPr>
          <w:rFonts w:ascii="Times New Roman;Times;Serif" w:hAnsi="Times New Roman;Times;Serif"/>
          <w:b/>
          <w:i/>
          <w:caps w:val="false"/>
          <w:smallCaps w:val="false"/>
          <w:sz w:val="20"/>
        </w:rPr>
        <w:t>Lock-Up Agreement”</w:t>
      </w:r>
      <w:r>
        <w:rPr>
          <w:rFonts w:ascii="Times New Roman;Times;Serif" w:hAnsi="Times New Roman;Times;Serif"/>
          <w:b w:val="false"/>
          <w:i w:val="false"/>
          <w:caps w:val="false"/>
          <w:smallCaps w:val="false"/>
          <w:sz w:val="20"/>
        </w:rPr>
        <w:t>), between you and the Underwriter relating to the Company’s shares of common stock, $0.0001 par value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the Underwriter hereby gives its consent to allow you to sell up to [●] Shares [solely from and including [DATE] to and including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7(k) of the Underwriting Agreement, the Underwriter hereby gives its consent to allow the Company to issue and sell up to [●] Shares pursuant to an offering of the Shares to commence prior to the expiration of the Lock-Up Period as defined in the Underwriting Agreement[, provided that such offering closes on or prior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Waiver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 a Delaware corporation (the “Company”) announced today that Aegis Capital Corp., acting as the Underwriter in the Company’s recent initial public offering of shares of the Company’s common stock, is [waiving] [releasing] a lock-up restriction with respect to shares of the Company’s common stock held by [certain officers or directors] [an officer or director] of the Company. The [waiver] [release] will take effect on [Date], and the shares may be sold on or after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right"/>
        <w:rPr>
          <w:rFonts w:ascii="Times New Roman;Times;Serif" w:hAnsi="Times New Roman;Times;Serif"/>
          <w:b/>
          <w:i w:val="false"/>
          <w:caps w:val="false"/>
          <w:smallCaps w:val="false"/>
          <w:sz w:val="20"/>
        </w:rPr>
      </w:pPr>
      <w:bookmarkStart w:id="40" w:name="ea020358801ex23-1_serverob.htm"/>
      <w:bookmarkStart w:id="41" w:name="ksea020358801ex231_serverob"/>
      <w:bookmarkEnd w:id="40"/>
      <w:bookmarkEnd w:id="41"/>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our report dated February 29, 2024, related to the financial statements of Serve Robotics Inc. as of December 31, 2023 and 2022, and for the years then ended, which includes an explanatory paragraph regarding the substantial doubt about the Company’s ability to continue as a going concern. We also consent to the reference to us under the heading “Experts”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dbb</w:t>
      </w:r>
      <w:r>
        <w:rPr>
          <w:rFonts w:ascii="Times New Roman;Times;Serif" w:hAnsi="Times New Roman;Times;Serif"/>
          <w:b w:val="false"/>
          <w:i/>
          <w:caps w:val="false"/>
          <w:smallCaps w:val="false"/>
          <w:sz w:val="20"/>
        </w:rPr>
        <w:t>mckennon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12, 2024</w:t>
      </w:r>
    </w:p>
    <w:p>
      <w:pPr>
        <w:pStyle w:val="TextBody"/>
        <w:bidi w:val="0"/>
        <w:ind w:left="0" w:right="0" w:hanging="0"/>
        <w:jc w:val="right"/>
        <w:rPr>
          <w:rFonts w:ascii="Times New Roman;Times;Serif" w:hAnsi="Times New Roman;Times;Serif"/>
          <w:b/>
          <w:i w:val="false"/>
          <w:caps w:val="false"/>
          <w:smallCaps w:val="false"/>
          <w:sz w:val="20"/>
        </w:rPr>
      </w:pPr>
      <w:bookmarkStart w:id="42" w:name="ea020358801ex-fee_serverob.htm"/>
      <w:bookmarkStart w:id="43" w:name="ksea020358801exfee_serverob"/>
      <w:bookmarkEnd w:id="42"/>
      <w:bookmarkEnd w:id="43"/>
      <w:r>
        <w:rPr>
          <w:rFonts w:ascii="Times New Roman;Times;Serif" w:hAnsi="Times New Roman;Times;Serif"/>
          <w:b/>
          <w:i w:val="false"/>
          <w:caps w:val="false"/>
          <w:smallCaps w:val="false"/>
          <w:sz w:val="20"/>
        </w:rPr>
        <w:t>Exhibit 107</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Type)</w:t>
      </w:r>
    </w:p>
    <w:p>
      <w:pPr>
        <w:pStyle w:val="TextBody"/>
        <w:bidi w:val="0"/>
        <w:spacing w:before="24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Serve Robotics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jc w:val="center"/>
        <w:rPr>
          <w:caps w:val="false"/>
          <w:smallCaps w:val="false"/>
        </w:rPr>
      </w:pPr>
      <w:r>
        <w:rPr>
          <w:caps w:val="false"/>
          <w:smallCaps w:val="false"/>
        </w:rPr>
        <w:t> </w:t>
      </w:r>
    </w:p>
    <w:tbl>
      <w:tblPr>
        <w:tblW w:w="10445" w:type="dxa"/>
        <w:jc w:val="left"/>
        <w:tblInd w:w="0" w:type="dxa"/>
        <w:tblLayout w:type="fixed"/>
        <w:tblCellMar>
          <w:top w:w="0" w:type="dxa"/>
          <w:left w:w="0" w:type="dxa"/>
          <w:bottom w:w="0" w:type="dxa"/>
          <w:right w:w="0" w:type="dxa"/>
        </w:tblCellMar>
      </w:tblPr>
      <w:tblGrid>
        <w:gridCol w:w="1040"/>
        <w:gridCol w:w="60"/>
        <w:gridCol w:w="860"/>
        <w:gridCol w:w="60"/>
        <w:gridCol w:w="905"/>
        <w:gridCol w:w="60"/>
        <w:gridCol w:w="1190"/>
        <w:gridCol w:w="60"/>
        <w:gridCol w:w="1100"/>
        <w:gridCol w:w="60"/>
        <w:gridCol w:w="1070"/>
        <w:gridCol w:w="60"/>
        <w:gridCol w:w="140"/>
        <w:gridCol w:w="1100"/>
        <w:gridCol w:w="60"/>
        <w:gridCol w:w="60"/>
        <w:gridCol w:w="60"/>
        <w:gridCol w:w="1040"/>
        <w:gridCol w:w="60"/>
        <w:gridCol w:w="60"/>
        <w:gridCol w:w="177"/>
        <w:gridCol w:w="1088"/>
        <w:gridCol w:w="75"/>
      </w:tblGrid>
      <w:tr>
        <w:trPr/>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center"/>
              <w:rPr>
                <w:b/>
              </w:rPr>
            </w:pPr>
            <w:r>
              <w:rPr>
                <w:b/>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Security </w:t>
              <w:br/>
              <w:t>Class Title</w:t>
            </w:r>
          </w:p>
        </w:tc>
        <w:tc>
          <w:tcPr>
            <w:tcW w:w="60" w:type="dxa"/>
            <w:tcBorders/>
            <w:vAlign w:val="center"/>
          </w:tcPr>
          <w:p>
            <w:pPr>
              <w:pStyle w:val="TableContents"/>
              <w:bidi w:val="0"/>
              <w:spacing w:before="0" w:after="283"/>
              <w:jc w:val="left"/>
              <w:rPr/>
            </w:pPr>
            <w:r>
              <w:rPr/>
              <w:t> </w:t>
            </w:r>
          </w:p>
        </w:tc>
        <w:tc>
          <w:tcPr>
            <w:tcW w:w="1190" w:type="dxa"/>
            <w:tcBorders>
              <w:bottom w:val="single" w:sz="12" w:space="0" w:color="000000"/>
            </w:tcBorders>
            <w:tcMar>
              <w:bottom w:w="28" w:type="dxa"/>
            </w:tcMar>
            <w:vAlign w:val="center"/>
          </w:tcPr>
          <w:p>
            <w:pPr>
              <w:pStyle w:val="TableContents"/>
              <w:bidi w:val="0"/>
              <w:spacing w:before="0" w:after="283"/>
              <w:jc w:val="center"/>
              <w:rPr>
                <w:b/>
              </w:rPr>
            </w:pPr>
            <w:r>
              <w:rPr>
                <w:b/>
              </w:rPr>
              <w:t>Fee Calculation Rule</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center"/>
              <w:rPr>
                <w:b/>
              </w:rPr>
            </w:pPr>
            <w:r>
              <w:rPr>
                <w:b/>
              </w:rPr>
              <w:t>Amount Registered</w:t>
            </w:r>
          </w:p>
        </w:tc>
        <w:tc>
          <w:tcPr>
            <w:tcW w:w="6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b/>
              </w:rPr>
            </w:pPr>
            <w:r>
              <w:rPr>
                <w:b/>
              </w:rPr>
              <w:t>Proposed Maximum Offering Price Per Unit</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Maximum Aggregate Offering Price (1)(2)(3)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 Registration Fee (2)</w:t>
            </w:r>
          </w:p>
        </w:tc>
        <w:tc>
          <w:tcPr>
            <w:tcW w:w="7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pPr>
            <w:r>
              <w:rPr/>
              <w:t>Fees to Be Paid</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Equity</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Common Stock, $0.0001 par value per share</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457(o)</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0.0001476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6,789.60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pPr>
            <w:r>
              <w:rPr/>
              <w:t>Fees Previously Paid</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Common Stock, $0.0001 par value per share</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457(o)</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0.0001476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088"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6,789.60</w:t>
            </w:r>
          </w:p>
        </w:tc>
        <w:tc>
          <w:tcPr>
            <w:tcW w:w="7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235" w:type="dxa"/>
            <w:gridSpan w:val="7"/>
            <w:tcBorders/>
            <w:shd w:fill="CCEEFF" w:val="clear"/>
            <w:vAlign w:val="center"/>
          </w:tcPr>
          <w:p>
            <w:pPr>
              <w:pStyle w:val="TableContents"/>
              <w:bidi w:val="0"/>
              <w:spacing w:before="0" w:after="283"/>
              <w:jc w:val="center"/>
              <w:rPr>
                <w:b/>
              </w:rPr>
            </w:pPr>
            <w:r>
              <w:rPr>
                <w:b/>
              </w:rPr>
              <w:t>Total Offering Amounts</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6,789.60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235" w:type="dxa"/>
            <w:gridSpan w:val="7"/>
            <w:tcBorders/>
            <w:shd w:fill="FFFFFF" w:val="clear"/>
            <w:vAlign w:val="center"/>
          </w:tcPr>
          <w:p>
            <w:pPr>
              <w:pStyle w:val="TableContents"/>
              <w:bidi w:val="0"/>
              <w:spacing w:before="0" w:after="283"/>
              <w:jc w:val="center"/>
              <w:rPr>
                <w:b/>
              </w:rPr>
            </w:pPr>
            <w:r>
              <w:rPr>
                <w:b/>
              </w:rPr>
              <w:t>Total Fees Previously Paid</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088" w:type="dxa"/>
            <w:tcBorders/>
            <w:shd w:fill="FFFFFF" w:val="clear"/>
            <w:vAlign w:val="center"/>
          </w:tcPr>
          <w:p>
            <w:pPr>
              <w:pStyle w:val="TableContents"/>
              <w:bidi w:val="0"/>
              <w:spacing w:before="0" w:after="283"/>
              <w:jc w:val="right"/>
              <w:rPr/>
            </w:pPr>
            <w:r>
              <w:rPr/>
              <w:t>6,789.60</w:t>
            </w:r>
          </w:p>
        </w:tc>
        <w:tc>
          <w:tcPr>
            <w:tcW w:w="7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235" w:type="dxa"/>
            <w:gridSpan w:val="7"/>
            <w:tcBorders/>
            <w:shd w:fill="CCEEFF" w:val="clear"/>
            <w:vAlign w:val="center"/>
          </w:tcPr>
          <w:p>
            <w:pPr>
              <w:pStyle w:val="TableContents"/>
              <w:bidi w:val="0"/>
              <w:spacing w:before="0" w:after="283"/>
              <w:jc w:val="center"/>
              <w:rPr>
                <w:b/>
              </w:rPr>
            </w:pPr>
            <w:r>
              <w:rPr>
                <w:b/>
              </w:rPr>
              <w:t>Total Fee Offsets</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235" w:type="dxa"/>
            <w:gridSpan w:val="7"/>
            <w:tcBorders/>
            <w:shd w:fill="FFFFFF" w:val="clear"/>
            <w:vAlign w:val="center"/>
          </w:tcPr>
          <w:p>
            <w:pPr>
              <w:pStyle w:val="TableContents"/>
              <w:bidi w:val="0"/>
              <w:spacing w:before="0" w:after="283"/>
              <w:jc w:val="center"/>
              <w:rPr>
                <w:b/>
              </w:rPr>
            </w:pPr>
            <w:r>
              <w:rPr>
                <w:b/>
              </w:rPr>
              <w:t>Net Fee Due</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088"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both"/>
              <w:rPr/>
            </w:pPr>
            <w:r>
              <w:rPr/>
              <w:t>Includes an indeterminate number of securities that may become offered, issuable or sold to prevent dilution resulting from stock splits, stock dividends and similar transactions, which are included pursuant to Rule 416 under the Securities Act of 1933, as amended (the “Securities Act”).</w:t>
            </w:r>
          </w:p>
        </w:tc>
      </w:tr>
    </w:tbl>
    <w:p>
      <w:pPr>
        <w:pStyle w:val="TextBody"/>
        <w:bidi w:val="0"/>
        <w:spacing w:before="0" w:after="0"/>
        <w:ind w:left="360" w:right="0" w:hanging="34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both"/>
              <w:rPr/>
            </w:pPr>
            <w:r>
              <w:rPr/>
              <w:t>Estimated solely for the purpose of computing the amount of the registration fee pursuant to Rule 457(o) under the Securities Act. The registrant may increase or decrease the size of the offering prior to effectiveness.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283"/>
              <w:jc w:val="both"/>
              <w:rPr/>
            </w:pPr>
            <w:r>
              <w:rPr/>
              <w:t>Includes shares subject to the underwriter’s option to purchase additional shares of our common stock to cover over-allotments, if any.</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hyperlink" Target="http://www.sec.gov/Archives/edgar/data/1832483/000121390023063662/ea180762ex2-1_patriciaacq.htm" TargetMode="External"/><Relationship Id="rId8" Type="http://schemas.openxmlformats.org/officeDocument/2006/relationships/hyperlink" Target="http://www.sec.gov/Archives/edgar/data/1832483/000121390023063662/ea180762ex3-1_patriciaacq.htm" TargetMode="External"/><Relationship Id="rId9" Type="http://schemas.openxmlformats.org/officeDocument/2006/relationships/hyperlink" Target="http://www.sec.gov/Archives/edgar/data/1832483/000121390023063662/ea180762ex3-2_patriciaacq.htm" TargetMode="External"/><Relationship Id="rId10" Type="http://schemas.openxmlformats.org/officeDocument/2006/relationships/hyperlink" Target="http://www.sec.gov/Archives/edgar/data/1832483/000121390023063662/ea180762ex3-3_patriciaacq.htm" TargetMode="External"/><Relationship Id="rId11" Type="http://schemas.openxmlformats.org/officeDocument/2006/relationships/hyperlink" Target="http://www.sec.gov/Archives/edgar/data/1832483/000121390023063662/ea180762ex4-1_patriciaacq.htm" TargetMode="External"/><Relationship Id="rId12" Type="http://schemas.openxmlformats.org/officeDocument/2006/relationships/hyperlink" Target="http://www.sec.gov/Archives/edgar/data/1832483/000121390023063662/ea180762ex4-2_patriciaacq.htm" TargetMode="External"/><Relationship Id="rId13" Type="http://schemas.openxmlformats.org/officeDocument/2006/relationships/hyperlink" Target="http://www.sec.gov/Archives/edgar/data/1832483/000121390023063662/ea180762ex4-3_patriciaacq.htm" TargetMode="External"/><Relationship Id="rId14" Type="http://schemas.openxmlformats.org/officeDocument/2006/relationships/hyperlink" Target="http://www.sec.gov/Archives/edgar/data/1832483/000121390023063662/ea180762ex4-4_patriciaacq.htm" TargetMode="External"/><Relationship Id="rId15" Type="http://schemas.openxmlformats.org/officeDocument/2006/relationships/hyperlink" Target="http://www.sec.gov/Archives/edgar/data/1832483/000121390024000500/ea190928ex4-1_serve.htm" TargetMode="External"/><Relationship Id="rId16" Type="http://schemas.openxmlformats.org/officeDocument/2006/relationships/hyperlink" Target="http://www.sec.gov/Archives/edgar/data/1832483/000121390024000500/ea190928ex4-2_serve.htm" TargetMode="External"/><Relationship Id="rId17" Type="http://schemas.openxmlformats.org/officeDocument/2006/relationships/hyperlink" Target="http://www.sec.gov/Archives/edgar/data/1832483/000121390024011153/ea192920ex10-3_serve.htm" TargetMode="External"/><Relationship Id="rId18" Type="http://schemas.openxmlformats.org/officeDocument/2006/relationships/hyperlink" Target="http://www.sec.gov/Archives/edgar/data/1832483/000121390024021137/ea0201013ex4-8_servero.htm" TargetMode="External"/><Relationship Id="rId19" Type="http://schemas.openxmlformats.org/officeDocument/2006/relationships/hyperlink" Target="https://www.sec.gov/Archives/edgar/data/1832483/000121390024031369/ea020329801ex5-1_serverob.htm" TargetMode="External"/><Relationship Id="rId20" Type="http://schemas.openxmlformats.org/officeDocument/2006/relationships/hyperlink" Target="http://www.sec.gov/Archives/edgar/data/1832483/000121390023063662/ea180762ex10-1_patriciaacq.htm" TargetMode="External"/><Relationship Id="rId21" Type="http://schemas.openxmlformats.org/officeDocument/2006/relationships/hyperlink" Target="http://www.sec.gov/Archives/edgar/data/1832483/000121390023063662/ea180762ex10-2_patriciaacq.htm" TargetMode="External"/><Relationship Id="rId22" Type="http://schemas.openxmlformats.org/officeDocument/2006/relationships/hyperlink" Target="http://www.sec.gov/Archives/edgar/data/1832483/000121390023063662/ea180762ex10-3_patriciaacq.htm" TargetMode="External"/><Relationship Id="rId23" Type="http://schemas.openxmlformats.org/officeDocument/2006/relationships/hyperlink" Target="http://www.sec.gov/Archives/edgar/data/1832483/000121390023063662/ea180762ex10-4_patriciaacq.htm" TargetMode="External"/><Relationship Id="rId24" Type="http://schemas.openxmlformats.org/officeDocument/2006/relationships/hyperlink" Target="http://www.sec.gov/Archives/edgar/data/1832483/000121390023063662/ea180762ex10-5_patriciaacq.htm" TargetMode="External"/><Relationship Id="rId25" Type="http://schemas.openxmlformats.org/officeDocument/2006/relationships/hyperlink" Target="http://www.sec.gov/Archives/edgar/data/1832483/000121390023063662/ea180762ex10-6_patriciaacq.htm" TargetMode="External"/><Relationship Id="rId26" Type="http://schemas.openxmlformats.org/officeDocument/2006/relationships/hyperlink" Target="http://www.sec.gov/Archives/edgar/data/1832483/000121390023063662/ea180762ex10-7_patriciaacq.htm" TargetMode="External"/><Relationship Id="rId27" Type="http://schemas.openxmlformats.org/officeDocument/2006/relationships/hyperlink" Target="https://www.sec.gov/Archives/edgar/data/1832483/000121390023090587/ea188580ex10-8_serverobo.htm" TargetMode="External"/><Relationship Id="rId28" Type="http://schemas.openxmlformats.org/officeDocument/2006/relationships/hyperlink" Target="https://www.sec.gov/Archives/edgar/data/1832483/000121390023090587/ea188580ex10-9_serverobo.htm" TargetMode="External"/><Relationship Id="rId29" Type="http://schemas.openxmlformats.org/officeDocument/2006/relationships/hyperlink" Target="https://www.sec.gov/Archives/edgar/data/1832483/000121390023090587/ea188580ex10-10_serverobo.htm" TargetMode="External"/><Relationship Id="rId30" Type="http://schemas.openxmlformats.org/officeDocument/2006/relationships/hyperlink" Target="https://www.sec.gov/Archives/edgar/data/1832483/000121390023090587/ea188580ex10-11_serverobo.htm" TargetMode="External"/><Relationship Id="rId31" Type="http://schemas.openxmlformats.org/officeDocument/2006/relationships/hyperlink" Target="https://www.sec.gov/Archives/edgar/data/1832483/000121390023090587/ea188580ex10-12_serverobo.htm" TargetMode="External"/><Relationship Id="rId32" Type="http://schemas.openxmlformats.org/officeDocument/2006/relationships/hyperlink" Target="https://www.sec.gov/Archives/edgar/data/1832483/000121390023090587/ea188580ex10-13_serverobo.htm" TargetMode="External"/><Relationship Id="rId33" Type="http://schemas.openxmlformats.org/officeDocument/2006/relationships/hyperlink" Target="https://www.sec.gov/Archives/edgar/data/1832483/000121390023090587/ea188580ex10-14_serverobo.htm" TargetMode="External"/><Relationship Id="rId34" Type="http://schemas.openxmlformats.org/officeDocument/2006/relationships/hyperlink" Target="https://www.sec.gov/Archives/edgar/data/1832483/000121390023063662/ea180762ex10-14_patriciaacq.htm" TargetMode="External"/><Relationship Id="rId35" Type="http://schemas.openxmlformats.org/officeDocument/2006/relationships/hyperlink" Target="http://www.sec.gov/Archives/edgar/data/1832483/000121390024018566/ea0200355ex10-16_serverobot.htm" TargetMode="External"/><Relationship Id="rId36" Type="http://schemas.openxmlformats.org/officeDocument/2006/relationships/hyperlink" Target="http://www.sec.gov/Archives/edgar/data/1832483/000121390024018566/ea0200355ex10-17_serverobot.htm" TargetMode="External"/><Relationship Id="rId37" Type="http://schemas.openxmlformats.org/officeDocument/2006/relationships/hyperlink" Target="https://www.sec.gov/Archives/edgar/data/1832483/000121390023063662/ea180762ex10-15_patriciaacq.htm" TargetMode="External"/><Relationship Id="rId38" Type="http://schemas.openxmlformats.org/officeDocument/2006/relationships/hyperlink" Target="https://www.sec.gov/Archives/edgar/data/1832483/000121390023063662/ea180762ex10-16_patriciaacq.htm" TargetMode="External"/><Relationship Id="rId39" Type="http://schemas.openxmlformats.org/officeDocument/2006/relationships/hyperlink" Target="https://www.sec.gov/Archives/edgar/data/1832483/000121390023063662/ea180762ex10-17_patriciaacq.htm" TargetMode="External"/><Relationship Id="rId40" Type="http://schemas.openxmlformats.org/officeDocument/2006/relationships/hyperlink" Target="https://www.sec.gov/Archives/edgar/data/1832483/000121390023063662/ea180762ex10-18_patriciaacq.htm" TargetMode="External"/><Relationship Id="rId41" Type="http://schemas.openxmlformats.org/officeDocument/2006/relationships/hyperlink" Target="https://www.sec.gov/Archives/edgar/data/1832483/000121390023063662/ea180762ex10-19_patriciaacq.htm" TargetMode="External"/><Relationship Id="rId42" Type="http://schemas.openxmlformats.org/officeDocument/2006/relationships/hyperlink" Target="http://www.sec.gov/Archives/edgar/data/1832483/000121390024018566/ea0200355ex10-23_serverobot.htm" TargetMode="External"/><Relationship Id="rId43" Type="http://schemas.openxmlformats.org/officeDocument/2006/relationships/hyperlink" Target="https://www.sec.gov/Archives/edgar/data/1832483/000121390023063662/ea180762ex10-20_patriciaacq.htm" TargetMode="External"/><Relationship Id="rId44" Type="http://schemas.openxmlformats.org/officeDocument/2006/relationships/hyperlink" Target="http://www.sec.gov/Archives/edgar/data/1832483/000121390023063662/ea180762ex10-21_patriciaacq.htm" TargetMode="External"/><Relationship Id="rId45" Type="http://schemas.openxmlformats.org/officeDocument/2006/relationships/hyperlink" Target="http://www.sec.gov/Archives/edgar/data/1832483/000121390023063662/ea180762ex10-22_patriciaacq.htm" TargetMode="External"/><Relationship Id="rId46" Type="http://schemas.openxmlformats.org/officeDocument/2006/relationships/hyperlink" Target="http://www.sec.gov/Archives/edgar/data/1832483/000121390023063662/ea180762ex10-23_patriciaacq.htm" TargetMode="External"/><Relationship Id="rId47" Type="http://schemas.openxmlformats.org/officeDocument/2006/relationships/hyperlink" Target="http://www.sec.gov/Archives/edgar/data/1832483/000121390023063662/ea180762ex10-24_patriciaacq.htm" TargetMode="External"/><Relationship Id="rId48" Type="http://schemas.openxmlformats.org/officeDocument/2006/relationships/hyperlink" Target="http://www.sec.gov/Archives/edgar/data/1832483/000121390024018566/ea0200355ex10-29_serverobot.htm" TargetMode="External"/><Relationship Id="rId49" Type="http://schemas.openxmlformats.org/officeDocument/2006/relationships/hyperlink" Target="http://www.sec.gov/Archives/edgar/data/1832483/000121390024011153/ea192920ex10-1_serve.htm" TargetMode="External"/><Relationship Id="rId50" Type="http://schemas.openxmlformats.org/officeDocument/2006/relationships/hyperlink" Target="http://www.sec.gov/Archives/edgar/data/1832483/000121390024011153/ea192920ex10-2_serve.htm" TargetMode="External"/><Relationship Id="rId51" Type="http://schemas.openxmlformats.org/officeDocument/2006/relationships/hyperlink" Target="https://www.sec.gov/Archives/edgar/data/1832483/000121390024031358/ea020344401ex10-1_serverob.htm" TargetMode="External"/><Relationship Id="rId52" Type="http://schemas.openxmlformats.org/officeDocument/2006/relationships/hyperlink" Target="http://www.sec.gov/Archives/edgar/data/1832483/000121390023063662/ea180762ex21-1_patriciaacq.htm" TargetMode="External"/><Relationship Id="rId53" Type="http://schemas.openxmlformats.org/officeDocument/2006/relationships/hyperlink" Target="https://www.sec.gov/Archives/edgar/data/1832483/000121390024031369/ea020329801ex5-1_serverob.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130014</Words>
  <Characters>698515</Characters>
  <CharactersWithSpaces>830842</CharactersWithSpaces>
  <Paragraphs>11917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